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D9CB" w14:textId="07572C14" w:rsidR="00A85034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Commento alla scheda di</w:t>
      </w:r>
      <w:r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monitoraggio annuale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2020</w:t>
      </w:r>
      <w:r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(SMA)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Scienze Chimiche Magistrale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L</w:t>
      </w:r>
      <w:r>
        <w:rPr>
          <w:rFonts w:cstheme="minorHAnsi"/>
          <w:b/>
          <w:bCs/>
          <w:color w:val="000000" w:themeColor="text1"/>
          <w:sz w:val="24"/>
          <w:szCs w:val="24"/>
        </w:rPr>
        <w:t>M</w:t>
      </w:r>
      <w:r>
        <w:rPr>
          <w:rFonts w:cstheme="minorHAnsi"/>
          <w:b/>
          <w:bCs/>
          <w:color w:val="000000" w:themeColor="text1"/>
          <w:sz w:val="24"/>
          <w:szCs w:val="24"/>
        </w:rPr>
        <w:t>-</w:t>
      </w:r>
      <w:r>
        <w:rPr>
          <w:rFonts w:cstheme="minorHAnsi"/>
          <w:b/>
          <w:bCs/>
          <w:color w:val="000000" w:themeColor="text1"/>
          <w:sz w:val="24"/>
          <w:szCs w:val="24"/>
        </w:rPr>
        <w:t>54</w:t>
      </w:r>
    </w:p>
    <w:p w14:paraId="1B3813FE" w14:textId="77777777" w:rsidR="00A85034" w:rsidRDefault="00A85034" w:rsidP="00971A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2FF">
        <w:rPr>
          <w:rFonts w:cstheme="minorHAnsi"/>
          <w:color w:val="000000" w:themeColor="text1"/>
          <w:sz w:val="24"/>
          <w:szCs w:val="24"/>
        </w:rPr>
        <w:t>Il presente verbale è stato redatto dal</w:t>
      </w:r>
      <w:r>
        <w:rPr>
          <w:rFonts w:cstheme="minorHAnsi"/>
          <w:color w:val="000000" w:themeColor="text1"/>
          <w:sz w:val="24"/>
          <w:szCs w:val="24"/>
        </w:rPr>
        <w:t xml:space="preserve"> gruppo del Riesame (</w:t>
      </w:r>
      <w:proofErr w:type="spellStart"/>
      <w:r w:rsidRPr="003622FF">
        <w:rPr>
          <w:rFonts w:cstheme="minorHAnsi"/>
          <w:color w:val="000000" w:themeColor="text1"/>
          <w:sz w:val="24"/>
          <w:szCs w:val="24"/>
        </w:rPr>
        <w:t>GdR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) </w:t>
      </w:r>
      <w:r w:rsidRPr="003622FF">
        <w:rPr>
          <w:rFonts w:cstheme="minorHAnsi"/>
          <w:color w:val="000000" w:themeColor="text1"/>
          <w:sz w:val="24"/>
          <w:szCs w:val="24"/>
        </w:rPr>
        <w:t>del</w:t>
      </w:r>
      <w:r>
        <w:rPr>
          <w:rFonts w:cstheme="minorHAnsi"/>
          <w:color w:val="000000" w:themeColor="text1"/>
          <w:sz w:val="24"/>
          <w:szCs w:val="24"/>
        </w:rPr>
        <w:t xml:space="preserve"> Consiglio interclasse in Scienze e Tecnologie Chimiche (</w:t>
      </w:r>
      <w:r w:rsidRPr="003622FF">
        <w:rPr>
          <w:rFonts w:cstheme="minorHAnsi"/>
          <w:color w:val="000000" w:themeColor="text1"/>
          <w:sz w:val="24"/>
          <w:szCs w:val="24"/>
        </w:rPr>
        <w:t>CISTEC</w:t>
      </w:r>
      <w:r>
        <w:rPr>
          <w:rFonts w:cstheme="minorHAnsi"/>
          <w:color w:val="000000" w:themeColor="text1"/>
          <w:sz w:val="24"/>
          <w:szCs w:val="24"/>
        </w:rPr>
        <w:t>)</w:t>
      </w:r>
      <w:r w:rsidRPr="003622FF">
        <w:rPr>
          <w:rFonts w:cstheme="minorHAnsi"/>
          <w:color w:val="000000" w:themeColor="text1"/>
          <w:sz w:val="24"/>
          <w:szCs w:val="24"/>
        </w:rPr>
        <w:t xml:space="preserve"> riunitosi in via telematica </w:t>
      </w:r>
      <w:r>
        <w:rPr>
          <w:rFonts w:cstheme="minorHAnsi"/>
          <w:color w:val="000000" w:themeColor="text1"/>
          <w:sz w:val="24"/>
          <w:szCs w:val="24"/>
        </w:rPr>
        <w:t>in data 14/11/2020.</w:t>
      </w:r>
    </w:p>
    <w:p w14:paraId="5163C98B" w14:textId="77777777" w:rsidR="00A85034" w:rsidRPr="003622FF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GdR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è</w:t>
      </w:r>
      <w:r w:rsidRPr="003622FF">
        <w:rPr>
          <w:rFonts w:cstheme="minorHAnsi"/>
          <w:color w:val="000000" w:themeColor="text1"/>
          <w:sz w:val="24"/>
          <w:szCs w:val="24"/>
        </w:rPr>
        <w:t xml:space="preserve"> così composto:</w:t>
      </w:r>
    </w:p>
    <w:p w14:paraId="7C37C444" w14:textId="77777777" w:rsidR="00A85034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2715EB1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>Gruppo del riesame CISTEC:</w:t>
      </w:r>
    </w:p>
    <w:p w14:paraId="524A54B0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 Angelo Nacci (presidente CISTEC)</w:t>
      </w:r>
    </w:p>
    <w:p w14:paraId="089FBA1C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Sig. Speranza (rappresentante degli studenti)</w:t>
      </w:r>
    </w:p>
    <w:p w14:paraId="72B38A4D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Prof.ssa Luigia Sabbatini</w:t>
      </w:r>
    </w:p>
    <w:p w14:paraId="6CCDACC6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 Pinalysa Cosma (ex delegato PLS e TFA del </w:t>
      </w:r>
      <w:proofErr w:type="spellStart"/>
      <w:r w:rsidRPr="00DF3B02">
        <w:rPr>
          <w:rFonts w:cstheme="minorHAnsi"/>
          <w:color w:val="000000" w:themeColor="text1"/>
          <w:sz w:val="24"/>
          <w:szCs w:val="24"/>
        </w:rPr>
        <w:t>dip</w:t>
      </w:r>
      <w:proofErr w:type="spellEnd"/>
      <w:r w:rsidRPr="00DF3B02">
        <w:rPr>
          <w:rFonts w:cstheme="minorHAnsi"/>
          <w:color w:val="000000" w:themeColor="text1"/>
          <w:sz w:val="24"/>
          <w:szCs w:val="24"/>
        </w:rPr>
        <w:t>. Chimica)</w:t>
      </w:r>
    </w:p>
    <w:p w14:paraId="296A0B10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Dr. Nicola di Masi (rappresentante TA)</w:t>
      </w:r>
    </w:p>
    <w:p w14:paraId="64372446" w14:textId="77777777" w:rsidR="00A85034" w:rsidRPr="00DF3B02" w:rsidRDefault="00A85034" w:rsidP="00A850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Dr.ssa Apollonia </w:t>
      </w:r>
      <w:proofErr w:type="spellStart"/>
      <w:r w:rsidRPr="00DF3B02">
        <w:rPr>
          <w:rFonts w:cstheme="minorHAnsi"/>
          <w:color w:val="000000" w:themeColor="text1"/>
          <w:sz w:val="24"/>
          <w:szCs w:val="24"/>
        </w:rPr>
        <w:t>Amorisco</w:t>
      </w:r>
      <w:proofErr w:type="spellEnd"/>
      <w:r w:rsidRPr="00DF3B02">
        <w:rPr>
          <w:rFonts w:cstheme="minorHAnsi"/>
          <w:color w:val="000000" w:themeColor="text1"/>
          <w:sz w:val="24"/>
          <w:szCs w:val="24"/>
        </w:rPr>
        <w:t xml:space="preserve"> (rappresentante Ordine dei Chimici Puglia)</w:t>
      </w:r>
    </w:p>
    <w:p w14:paraId="379AEAC4" w14:textId="3642BBDB" w:rsidR="00E23196" w:rsidRDefault="00A85034" w:rsidP="00A850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Dr.ssa Francesca Ferrieri (rappresentante Arpa Puglia)</w:t>
      </w:r>
    </w:p>
    <w:p w14:paraId="392D8A10" w14:textId="77777777" w:rsidR="00A85034" w:rsidRPr="006F5153" w:rsidRDefault="00A85034" w:rsidP="00A850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</w:p>
    <w:p w14:paraId="4D2D271C" w14:textId="69347274" w:rsidR="000C7877" w:rsidRPr="006F5153" w:rsidRDefault="00A52A8F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 xml:space="preserve">Commento SMA 2020 - </w:t>
      </w:r>
      <w:bookmarkStart w:id="0" w:name="_GoBack"/>
      <w:bookmarkEnd w:id="0"/>
      <w:r w:rsidR="000C7877" w:rsidRPr="006F5153">
        <w:rPr>
          <w:rFonts w:cstheme="minorHAnsi"/>
          <w:b/>
          <w:color w:val="000000" w:themeColor="text1"/>
          <w:sz w:val="24"/>
        </w:rPr>
        <w:t xml:space="preserve">LM-54 </w:t>
      </w:r>
      <w:r w:rsidR="00E7030E" w:rsidRPr="006F5153">
        <w:rPr>
          <w:rFonts w:cstheme="minorHAnsi"/>
          <w:b/>
          <w:color w:val="000000" w:themeColor="text1"/>
          <w:sz w:val="24"/>
        </w:rPr>
        <w:t>Scienze Chimiche</w:t>
      </w:r>
    </w:p>
    <w:p w14:paraId="58424911" w14:textId="77777777" w:rsidR="00E7030E" w:rsidRPr="006F5153" w:rsidRDefault="00E7030E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1FA0099" w14:textId="57DEFC46" w:rsidR="00005CD6" w:rsidRPr="006F5153" w:rsidRDefault="00C91B7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  <w:szCs w:val="24"/>
        </w:rPr>
        <w:t xml:space="preserve">Il corso di laurea </w:t>
      </w:r>
      <w:r w:rsidRPr="006F5153">
        <w:rPr>
          <w:rFonts w:cstheme="minorHAnsi"/>
          <w:color w:val="000000" w:themeColor="text1"/>
          <w:sz w:val="24"/>
        </w:rPr>
        <w:t>magistrale in Scienze Chimiche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di Bari è uno dei 38 </w:t>
      </w:r>
      <w:proofErr w:type="spellStart"/>
      <w:r w:rsidRPr="006F515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Pr="006F5153">
        <w:rPr>
          <w:rFonts w:cstheme="minorHAnsi"/>
          <w:color w:val="000000" w:themeColor="text1"/>
          <w:sz w:val="24"/>
          <w:szCs w:val="24"/>
        </w:rPr>
        <w:t xml:space="preserve"> della stessa classe presenti sul territorio nazionale ed uno dei 1</w:t>
      </w:r>
      <w:r w:rsidR="0007201A">
        <w:rPr>
          <w:rFonts w:cstheme="minorHAnsi"/>
          <w:color w:val="000000" w:themeColor="text1"/>
          <w:sz w:val="24"/>
          <w:szCs w:val="24"/>
        </w:rPr>
        <w:t>0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della macroregione Sud e isole, l’unico presente nella regione Puglia. </w:t>
      </w:r>
      <w:r w:rsidR="007E6431" w:rsidRPr="006F5153">
        <w:rPr>
          <w:rFonts w:cstheme="minorHAnsi"/>
          <w:color w:val="000000" w:themeColor="text1"/>
          <w:sz w:val="24"/>
        </w:rPr>
        <w:t xml:space="preserve">Il corso di </w:t>
      </w:r>
      <w:r w:rsidR="00EF2AB9" w:rsidRPr="006F5153">
        <w:rPr>
          <w:rFonts w:cstheme="minorHAnsi"/>
          <w:color w:val="000000" w:themeColor="text1"/>
          <w:sz w:val="24"/>
        </w:rPr>
        <w:t>studi</w:t>
      </w:r>
      <w:r w:rsidR="007E6431" w:rsidRPr="006F5153">
        <w:rPr>
          <w:rFonts w:cstheme="minorHAnsi"/>
          <w:color w:val="000000" w:themeColor="text1"/>
          <w:sz w:val="24"/>
        </w:rPr>
        <w:t xml:space="preserve"> ha accesso aperto. </w:t>
      </w:r>
      <w:r w:rsidR="00450BD2">
        <w:rPr>
          <w:rFonts w:cstheme="minorHAnsi"/>
          <w:color w:val="000000" w:themeColor="text1"/>
          <w:sz w:val="24"/>
        </w:rPr>
        <w:t xml:space="preserve">Gli indicatori </w:t>
      </w:r>
      <w:r w:rsidR="00FB0F9F" w:rsidRPr="006F5153">
        <w:rPr>
          <w:rFonts w:cstheme="minorHAnsi"/>
          <w:color w:val="000000" w:themeColor="text1"/>
          <w:sz w:val="24"/>
        </w:rPr>
        <w:t xml:space="preserve">relativi alle iscrizioni </w:t>
      </w:r>
      <w:r w:rsidR="00E54A47" w:rsidRPr="006F5153">
        <w:rPr>
          <w:rFonts w:cstheme="minorHAnsi"/>
          <w:color w:val="000000" w:themeColor="text1"/>
          <w:sz w:val="24"/>
        </w:rPr>
        <w:t>mostrano</w:t>
      </w:r>
      <w:r w:rsidR="00DC53E4">
        <w:rPr>
          <w:rFonts w:cstheme="minorHAnsi"/>
          <w:color w:val="000000" w:themeColor="text1"/>
          <w:sz w:val="24"/>
        </w:rPr>
        <w:t xml:space="preserve"> nel quinquennio di riferimento (2015-19)</w:t>
      </w:r>
      <w:r w:rsidR="00E54A47" w:rsidRPr="006F5153">
        <w:rPr>
          <w:rFonts w:cstheme="minorHAnsi"/>
          <w:color w:val="000000" w:themeColor="text1"/>
          <w:sz w:val="24"/>
        </w:rPr>
        <w:t xml:space="preserve"> </w:t>
      </w:r>
      <w:r w:rsidR="00DC53E4">
        <w:rPr>
          <w:rFonts w:cstheme="minorHAnsi"/>
          <w:color w:val="000000" w:themeColor="text1"/>
          <w:sz w:val="24"/>
        </w:rPr>
        <w:t xml:space="preserve">mostrano </w:t>
      </w:r>
      <w:r w:rsidR="00E54A47" w:rsidRPr="006F5153">
        <w:rPr>
          <w:rFonts w:cstheme="minorHAnsi"/>
          <w:color w:val="000000" w:themeColor="text1"/>
          <w:sz w:val="24"/>
        </w:rPr>
        <w:t>un minimo nel</w:t>
      </w:r>
      <w:r w:rsidR="00CB65E2" w:rsidRPr="006F5153">
        <w:rPr>
          <w:rFonts w:cstheme="minorHAnsi"/>
          <w:color w:val="000000" w:themeColor="text1"/>
          <w:sz w:val="24"/>
        </w:rPr>
        <w:t>l’AA</w:t>
      </w:r>
      <w:r w:rsidR="00E54A47" w:rsidRPr="006F5153">
        <w:rPr>
          <w:rFonts w:cstheme="minorHAnsi"/>
          <w:color w:val="000000" w:themeColor="text1"/>
          <w:sz w:val="24"/>
        </w:rPr>
        <w:t xml:space="preserve"> 2016-17 di </w:t>
      </w:r>
      <w:r w:rsidR="00946794" w:rsidRPr="006F5153">
        <w:rPr>
          <w:rFonts w:cstheme="minorHAnsi"/>
          <w:color w:val="000000" w:themeColor="text1"/>
          <w:sz w:val="24"/>
        </w:rPr>
        <w:t xml:space="preserve">soli </w:t>
      </w:r>
      <w:r w:rsidR="00E54A47" w:rsidRPr="006F5153">
        <w:rPr>
          <w:rFonts w:cstheme="minorHAnsi"/>
          <w:color w:val="000000" w:themeColor="text1"/>
          <w:sz w:val="24"/>
        </w:rPr>
        <w:t>13 avvii di carriera.</w:t>
      </w:r>
    </w:p>
    <w:p w14:paraId="6EF5A4E0" w14:textId="77777777" w:rsidR="00005CD6" w:rsidRPr="006F5153" w:rsidRDefault="00005C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50069C9" w14:textId="67742591" w:rsidR="00005CD6" w:rsidRDefault="0039179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39179D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4FCB9C22" wp14:editId="4A0859FC">
            <wp:extent cx="4665785" cy="1162734"/>
            <wp:effectExtent l="0" t="0" r="190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03" cy="118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4B40" w14:textId="21490EF7" w:rsidR="00A9329A" w:rsidRDefault="009834EC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9834EC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3E8E745D" wp14:editId="0941E464">
            <wp:extent cx="4665345" cy="321400"/>
            <wp:effectExtent l="0" t="0" r="1905" b="254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7"/>
                    <a:stretch/>
                  </pic:blipFill>
                  <pic:spPr bwMode="auto">
                    <a:xfrm>
                      <a:off x="0" y="0"/>
                      <a:ext cx="4915579" cy="33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FC78A" w14:textId="77777777" w:rsidR="00874B0E" w:rsidRDefault="00874B0E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1BE71492" w14:textId="601CAECA" w:rsidR="007E6431" w:rsidRPr="006F5153" w:rsidRDefault="00DC53E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Per fronteggiare il calo delle iscrizioni,</w:t>
      </w:r>
      <w:r w:rsidR="007C339C" w:rsidRPr="006F5153">
        <w:rPr>
          <w:rFonts w:cstheme="minorHAnsi"/>
          <w:color w:val="000000" w:themeColor="text1"/>
          <w:sz w:val="24"/>
        </w:rPr>
        <w:t xml:space="preserve"> </w:t>
      </w:r>
      <w:r w:rsidR="008628FE" w:rsidRPr="006F5153">
        <w:rPr>
          <w:rFonts w:cstheme="minorHAnsi"/>
          <w:color w:val="000000" w:themeColor="text1"/>
          <w:sz w:val="24"/>
        </w:rPr>
        <w:t xml:space="preserve">il </w:t>
      </w:r>
      <w:proofErr w:type="spellStart"/>
      <w:r w:rsidR="008628FE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8628FE" w:rsidRPr="006F5153">
        <w:rPr>
          <w:rFonts w:cstheme="minorHAnsi"/>
          <w:color w:val="000000" w:themeColor="text1"/>
          <w:sz w:val="24"/>
        </w:rPr>
        <w:t xml:space="preserve"> </w:t>
      </w:r>
      <w:r w:rsidR="005F5E52" w:rsidRPr="006F5153">
        <w:rPr>
          <w:rFonts w:cstheme="minorHAnsi"/>
          <w:color w:val="000000" w:themeColor="text1"/>
          <w:sz w:val="24"/>
        </w:rPr>
        <w:t>ha</w:t>
      </w:r>
      <w:r w:rsidR="00E23196" w:rsidRPr="006F5153">
        <w:rPr>
          <w:rFonts w:cstheme="minorHAnsi"/>
          <w:color w:val="000000" w:themeColor="text1"/>
          <w:sz w:val="24"/>
        </w:rPr>
        <w:t xml:space="preserve"> </w:t>
      </w:r>
      <w:r w:rsidR="0074182E" w:rsidRPr="006F5153">
        <w:rPr>
          <w:rFonts w:cstheme="minorHAnsi"/>
          <w:color w:val="000000" w:themeColor="text1"/>
          <w:sz w:val="24"/>
        </w:rPr>
        <w:t xml:space="preserve">operato </w:t>
      </w:r>
      <w:r>
        <w:rPr>
          <w:rFonts w:cstheme="minorHAnsi"/>
          <w:color w:val="000000" w:themeColor="text1"/>
          <w:sz w:val="24"/>
        </w:rPr>
        <w:t xml:space="preserve">nel 2017 </w:t>
      </w:r>
      <w:r w:rsidR="0074182E" w:rsidRPr="006F5153">
        <w:rPr>
          <w:rFonts w:cstheme="minorHAnsi"/>
          <w:color w:val="000000" w:themeColor="text1"/>
          <w:sz w:val="24"/>
        </w:rPr>
        <w:t xml:space="preserve">una modifica ordinamentale </w:t>
      </w:r>
      <w:r w:rsidR="00A45174" w:rsidRPr="006F5153">
        <w:rPr>
          <w:rFonts w:cstheme="minorHAnsi"/>
          <w:color w:val="000000" w:themeColor="text1"/>
          <w:sz w:val="24"/>
        </w:rPr>
        <w:t xml:space="preserve">della laurea magistrale </w:t>
      </w:r>
      <w:r w:rsidR="00E36998" w:rsidRPr="006F5153">
        <w:rPr>
          <w:rFonts w:cstheme="minorHAnsi"/>
          <w:color w:val="000000" w:themeColor="text1"/>
          <w:sz w:val="24"/>
        </w:rPr>
        <w:t>in</w:t>
      </w:r>
      <w:r w:rsidR="00A45174" w:rsidRPr="006F5153">
        <w:rPr>
          <w:rFonts w:cstheme="minorHAnsi"/>
          <w:color w:val="000000" w:themeColor="text1"/>
          <w:sz w:val="24"/>
        </w:rPr>
        <w:t xml:space="preserve"> Chimica</w:t>
      </w:r>
      <w:r w:rsidR="00E23196" w:rsidRPr="006F5153">
        <w:rPr>
          <w:rFonts w:cstheme="minorHAnsi"/>
          <w:color w:val="000000" w:themeColor="text1"/>
          <w:sz w:val="24"/>
        </w:rPr>
        <w:t xml:space="preserve"> </w:t>
      </w:r>
      <w:r w:rsidR="00444757" w:rsidRPr="006F5153">
        <w:rPr>
          <w:rFonts w:cstheme="minorHAnsi"/>
          <w:color w:val="000000" w:themeColor="text1"/>
          <w:sz w:val="24"/>
        </w:rPr>
        <w:t xml:space="preserve">tesa </w:t>
      </w:r>
      <w:r w:rsidR="00627CA7" w:rsidRPr="006F5153">
        <w:rPr>
          <w:rFonts w:cstheme="minorHAnsi"/>
          <w:color w:val="000000" w:themeColor="text1"/>
          <w:sz w:val="24"/>
        </w:rPr>
        <w:t xml:space="preserve">ad </w:t>
      </w:r>
      <w:r w:rsidR="007502BF" w:rsidRPr="006F5153">
        <w:rPr>
          <w:rFonts w:cstheme="minorHAnsi"/>
          <w:color w:val="000000" w:themeColor="text1"/>
          <w:sz w:val="24"/>
        </w:rPr>
        <w:t>aumentarne l’</w:t>
      </w:r>
      <w:r w:rsidR="007F06B3" w:rsidRPr="006F5153">
        <w:rPr>
          <w:rFonts w:cstheme="minorHAnsi"/>
          <w:color w:val="000000" w:themeColor="text1"/>
          <w:sz w:val="24"/>
        </w:rPr>
        <w:t>attra</w:t>
      </w:r>
      <w:r w:rsidR="007C339C" w:rsidRPr="006F5153">
        <w:rPr>
          <w:rFonts w:cstheme="minorHAnsi"/>
          <w:color w:val="000000" w:themeColor="text1"/>
          <w:sz w:val="24"/>
        </w:rPr>
        <w:t>ttività</w:t>
      </w:r>
      <w:r w:rsidR="006C59D7" w:rsidRPr="006F5153">
        <w:rPr>
          <w:rFonts w:cstheme="minorHAnsi"/>
          <w:color w:val="000000" w:themeColor="text1"/>
          <w:sz w:val="24"/>
        </w:rPr>
        <w:t xml:space="preserve"> (maggiore interazione con il territorio con l’introduzione del tirocinio in azienda e maggiore coinvolgimento delle parti sociali).</w:t>
      </w:r>
      <w:r w:rsidR="00BA28FD" w:rsidRPr="006F5153">
        <w:rPr>
          <w:rFonts w:cstheme="minorHAnsi"/>
          <w:color w:val="000000" w:themeColor="text1"/>
          <w:sz w:val="24"/>
        </w:rPr>
        <w:t xml:space="preserve"> </w:t>
      </w:r>
      <w:r w:rsidR="00431370">
        <w:rPr>
          <w:rFonts w:cstheme="minorHAnsi"/>
          <w:color w:val="000000" w:themeColor="text1"/>
          <w:sz w:val="24"/>
        </w:rPr>
        <w:t>La ristrutturazione sembra avere dato i suoi frutti</w:t>
      </w:r>
      <w:r w:rsidR="007A1884">
        <w:rPr>
          <w:rFonts w:cstheme="minorHAnsi"/>
          <w:color w:val="000000" w:themeColor="text1"/>
          <w:sz w:val="24"/>
        </w:rPr>
        <w:t>,</w:t>
      </w:r>
      <w:r w:rsidR="00431370">
        <w:rPr>
          <w:rFonts w:cstheme="minorHAnsi"/>
          <w:color w:val="000000" w:themeColor="text1"/>
          <w:sz w:val="24"/>
        </w:rPr>
        <w:t xml:space="preserve"> con </w:t>
      </w:r>
      <w:r w:rsidR="00521D8F">
        <w:rPr>
          <w:rFonts w:cstheme="minorHAnsi"/>
          <w:color w:val="000000" w:themeColor="text1"/>
          <w:sz w:val="24"/>
        </w:rPr>
        <w:t>l’immediato aumento</w:t>
      </w:r>
      <w:r w:rsidR="00431370"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/>
          <w:color w:val="000000" w:themeColor="text1"/>
          <w:sz w:val="24"/>
        </w:rPr>
        <w:t xml:space="preserve">delle iscrizioni </w:t>
      </w:r>
      <w:r w:rsidR="00521D8F">
        <w:rPr>
          <w:rFonts w:cstheme="minorHAnsi"/>
          <w:color w:val="000000" w:themeColor="text1"/>
          <w:sz w:val="24"/>
        </w:rPr>
        <w:t xml:space="preserve">che </w:t>
      </w:r>
      <w:r w:rsidR="00431370">
        <w:rPr>
          <w:rFonts w:cstheme="minorHAnsi"/>
          <w:color w:val="000000" w:themeColor="text1"/>
          <w:sz w:val="24"/>
        </w:rPr>
        <w:t>nel 2018 ha raggiunto quota 30 unità</w:t>
      </w:r>
      <w:r w:rsidR="007A1884">
        <w:rPr>
          <w:rFonts w:cstheme="minorHAnsi"/>
          <w:color w:val="000000" w:themeColor="text1"/>
          <w:sz w:val="24"/>
        </w:rPr>
        <w:t xml:space="preserve"> (</w:t>
      </w:r>
      <w:r w:rsidR="001C6883">
        <w:rPr>
          <w:rFonts w:cstheme="minorHAnsi"/>
          <w:color w:val="000000" w:themeColor="text1"/>
          <w:sz w:val="24"/>
        </w:rPr>
        <w:t xml:space="preserve">quasi </w:t>
      </w:r>
      <w:r w:rsidR="007A1884">
        <w:rPr>
          <w:rFonts w:cstheme="minorHAnsi"/>
          <w:color w:val="000000" w:themeColor="text1"/>
          <w:sz w:val="24"/>
        </w:rPr>
        <w:t>in linea con il dato nazionale)</w:t>
      </w:r>
      <w:r w:rsidR="00907151">
        <w:rPr>
          <w:rFonts w:cstheme="minorHAnsi"/>
          <w:color w:val="000000" w:themeColor="text1"/>
          <w:sz w:val="24"/>
        </w:rPr>
        <w:t xml:space="preserve"> e </w:t>
      </w:r>
      <w:r w:rsidR="0003054F">
        <w:rPr>
          <w:rFonts w:cstheme="minorHAnsi"/>
          <w:color w:val="000000" w:themeColor="text1"/>
          <w:sz w:val="24"/>
        </w:rPr>
        <w:t>24</w:t>
      </w:r>
      <w:r w:rsidR="00907151">
        <w:rPr>
          <w:rFonts w:cstheme="minorHAnsi"/>
          <w:color w:val="000000" w:themeColor="text1"/>
          <w:sz w:val="24"/>
        </w:rPr>
        <w:t xml:space="preserve"> unità nel 2019</w:t>
      </w:r>
      <w:r w:rsidR="0003054F">
        <w:rPr>
          <w:rFonts w:cstheme="minorHAnsi"/>
          <w:color w:val="000000" w:themeColor="text1"/>
          <w:sz w:val="24"/>
        </w:rPr>
        <w:t xml:space="preserve">. </w:t>
      </w:r>
      <w:r w:rsidR="00B20D12">
        <w:rPr>
          <w:rFonts w:cstheme="minorHAnsi"/>
          <w:color w:val="000000" w:themeColor="text1"/>
          <w:sz w:val="24"/>
        </w:rPr>
        <w:t xml:space="preserve">Va altresì </w:t>
      </w:r>
      <w:proofErr w:type="spellStart"/>
      <w:r w:rsidR="008D4EBF">
        <w:rPr>
          <w:rFonts w:cstheme="minorHAnsi"/>
          <w:color w:val="000000" w:themeColor="text1"/>
          <w:sz w:val="24"/>
        </w:rPr>
        <w:t>oservato</w:t>
      </w:r>
      <w:proofErr w:type="spellEnd"/>
      <w:r w:rsidR="00B20D12">
        <w:rPr>
          <w:rFonts w:cstheme="minorHAnsi"/>
          <w:color w:val="000000" w:themeColor="text1"/>
          <w:sz w:val="24"/>
        </w:rPr>
        <w:t>, che i</w:t>
      </w:r>
      <w:r w:rsidRPr="006F5153">
        <w:rPr>
          <w:rFonts w:cstheme="minorHAnsi"/>
          <w:color w:val="000000" w:themeColor="text1"/>
          <w:sz w:val="24"/>
        </w:rPr>
        <w:t xml:space="preserve">l trend </w:t>
      </w:r>
      <w:r w:rsidR="00B20D12">
        <w:rPr>
          <w:rFonts w:cstheme="minorHAnsi"/>
          <w:color w:val="000000" w:themeColor="text1"/>
          <w:sz w:val="24"/>
        </w:rPr>
        <w:t xml:space="preserve">negativo delle iscrizioni </w:t>
      </w:r>
      <w:r w:rsidRPr="006F5153">
        <w:rPr>
          <w:rFonts w:cstheme="minorHAnsi"/>
          <w:color w:val="000000" w:themeColor="text1"/>
          <w:sz w:val="24"/>
        </w:rPr>
        <w:t>trova conferma nel generale andamento delle lauree magistrali dell’intero Ateneo barese. I laureati triennali di Bari, dalle interviste effettuate, sembrano attratti dalle magistrali del nord Italia per le maggiori opportunità offerte dal contesto socio-economico del territorio.</w:t>
      </w:r>
    </w:p>
    <w:p w14:paraId="0B0CE2A2" w14:textId="77777777" w:rsidR="007E6431" w:rsidRPr="006F5153" w:rsidRDefault="007E6431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85F202B" w14:textId="77777777" w:rsidR="000C7877" w:rsidRPr="00581215" w:rsidRDefault="000C787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Gruppo A – Indicatori relativi alla didattica (DM 987/2016, allegato E)</w:t>
      </w:r>
    </w:p>
    <w:p w14:paraId="0251411D" w14:textId="1FE8613C" w:rsidR="00D63E13" w:rsidRDefault="007C52B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Gli indicatori di questo gruppo </w:t>
      </w:r>
      <w:r w:rsidR="000B2B68">
        <w:rPr>
          <w:rFonts w:cstheme="minorHAnsi"/>
          <w:color w:val="000000" w:themeColor="text1"/>
          <w:sz w:val="24"/>
        </w:rPr>
        <w:t>mostrano</w:t>
      </w:r>
      <w:r w:rsidR="00410D31" w:rsidRPr="006F5153">
        <w:rPr>
          <w:rFonts w:cstheme="minorHAnsi"/>
          <w:color w:val="000000" w:themeColor="text1"/>
          <w:sz w:val="24"/>
        </w:rPr>
        <w:t xml:space="preserve"> </w:t>
      </w:r>
      <w:r w:rsidR="00270306">
        <w:rPr>
          <w:rFonts w:cstheme="minorHAnsi"/>
          <w:color w:val="000000" w:themeColor="text1"/>
          <w:sz w:val="24"/>
        </w:rPr>
        <w:t>per il quinquennio</w:t>
      </w:r>
      <w:r w:rsidR="00270306" w:rsidRPr="006F5153">
        <w:rPr>
          <w:rFonts w:cstheme="minorHAnsi"/>
          <w:color w:val="000000" w:themeColor="text1"/>
          <w:sz w:val="24"/>
        </w:rPr>
        <w:t xml:space="preserve"> </w:t>
      </w:r>
      <w:r w:rsidR="00410D31" w:rsidRPr="006F5153">
        <w:rPr>
          <w:rFonts w:cstheme="minorHAnsi"/>
          <w:color w:val="000000" w:themeColor="text1"/>
          <w:sz w:val="24"/>
        </w:rPr>
        <w:t>un andamento</w:t>
      </w:r>
      <w:r w:rsidR="003D675D">
        <w:rPr>
          <w:rFonts w:cstheme="minorHAnsi"/>
          <w:color w:val="000000" w:themeColor="text1"/>
          <w:sz w:val="24"/>
        </w:rPr>
        <w:t xml:space="preserve"> </w:t>
      </w:r>
      <w:r w:rsidRPr="006F5153">
        <w:rPr>
          <w:rFonts w:cstheme="minorHAnsi"/>
          <w:color w:val="000000" w:themeColor="text1"/>
          <w:sz w:val="24"/>
        </w:rPr>
        <w:t xml:space="preserve">sostanzialmente </w:t>
      </w:r>
      <w:r w:rsidR="00C736A4">
        <w:rPr>
          <w:rFonts w:cstheme="minorHAnsi"/>
          <w:color w:val="000000" w:themeColor="text1"/>
          <w:sz w:val="24"/>
        </w:rPr>
        <w:t>simile a</w:t>
      </w:r>
      <w:r w:rsidR="00B43AB8" w:rsidRPr="006F5153">
        <w:rPr>
          <w:rFonts w:cstheme="minorHAnsi"/>
          <w:color w:val="000000" w:themeColor="text1"/>
          <w:sz w:val="24"/>
        </w:rPr>
        <w:t xml:space="preserve"> </w:t>
      </w:r>
      <w:r w:rsidR="00A34F77">
        <w:rPr>
          <w:rFonts w:cstheme="minorHAnsi"/>
          <w:color w:val="000000" w:themeColor="text1"/>
          <w:sz w:val="24"/>
        </w:rPr>
        <w:t>quello delle iscrizioni</w:t>
      </w:r>
      <w:r w:rsidR="003D675D">
        <w:rPr>
          <w:rFonts w:cstheme="minorHAnsi"/>
          <w:color w:val="000000" w:themeColor="text1"/>
          <w:sz w:val="24"/>
        </w:rPr>
        <w:t>,</w:t>
      </w:r>
      <w:r w:rsidR="00A34F77">
        <w:rPr>
          <w:rFonts w:cstheme="minorHAnsi"/>
          <w:color w:val="000000" w:themeColor="text1"/>
          <w:sz w:val="24"/>
        </w:rPr>
        <w:t xml:space="preserve"> con</w:t>
      </w:r>
      <w:r w:rsidRPr="006F5153">
        <w:rPr>
          <w:rFonts w:cstheme="minorHAnsi"/>
          <w:color w:val="000000" w:themeColor="text1"/>
          <w:sz w:val="24"/>
        </w:rPr>
        <w:t xml:space="preserve"> una </w:t>
      </w:r>
      <w:r w:rsidR="00756B74" w:rsidRPr="006F5153">
        <w:rPr>
          <w:rFonts w:cstheme="minorHAnsi"/>
          <w:color w:val="000000" w:themeColor="text1"/>
          <w:sz w:val="24"/>
        </w:rPr>
        <w:t>flessione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A34F77">
        <w:rPr>
          <w:rFonts w:cstheme="minorHAnsi"/>
          <w:color w:val="000000" w:themeColor="text1"/>
          <w:sz w:val="24"/>
        </w:rPr>
        <w:t xml:space="preserve">che raggiunge </w:t>
      </w:r>
      <w:r w:rsidR="00756B74" w:rsidRPr="006F5153">
        <w:rPr>
          <w:rFonts w:cstheme="minorHAnsi"/>
          <w:color w:val="000000" w:themeColor="text1"/>
          <w:sz w:val="24"/>
        </w:rPr>
        <w:t>un minimo nel 2016</w:t>
      </w:r>
      <w:r w:rsidR="00C736A4">
        <w:rPr>
          <w:rFonts w:cstheme="minorHAnsi"/>
          <w:color w:val="000000" w:themeColor="text1"/>
          <w:sz w:val="24"/>
        </w:rPr>
        <w:t xml:space="preserve"> ed una ripresa nei successivi anni accademici.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3D675D">
        <w:rPr>
          <w:rFonts w:cstheme="minorHAnsi"/>
          <w:color w:val="000000" w:themeColor="text1"/>
          <w:sz w:val="24"/>
        </w:rPr>
        <w:t xml:space="preserve">Questo vale sia per i CFU acquisiti che per i laureati </w:t>
      </w:r>
      <w:r w:rsidR="00756B74" w:rsidRPr="006F5153">
        <w:rPr>
          <w:rFonts w:cstheme="minorHAnsi"/>
          <w:color w:val="000000" w:themeColor="text1"/>
          <w:sz w:val="24"/>
        </w:rPr>
        <w:t>in corso</w:t>
      </w:r>
      <w:r w:rsidR="00EE2760">
        <w:rPr>
          <w:rFonts w:cstheme="minorHAnsi"/>
          <w:color w:val="000000" w:themeColor="text1"/>
          <w:sz w:val="24"/>
        </w:rPr>
        <w:t xml:space="preserve"> </w:t>
      </w:r>
      <w:r w:rsidR="003D675D">
        <w:rPr>
          <w:rFonts w:cstheme="minorHAnsi"/>
          <w:color w:val="000000" w:themeColor="text1"/>
          <w:sz w:val="24"/>
        </w:rPr>
        <w:t>ne</w:t>
      </w:r>
      <w:r w:rsidR="00EE2760">
        <w:rPr>
          <w:rFonts w:cstheme="minorHAnsi"/>
          <w:color w:val="000000" w:themeColor="text1"/>
          <w:sz w:val="24"/>
        </w:rPr>
        <w:t>ll’anno solare</w:t>
      </w:r>
      <w:r w:rsidR="003D675D">
        <w:rPr>
          <w:rFonts w:cstheme="minorHAnsi"/>
          <w:color w:val="000000" w:themeColor="text1"/>
          <w:sz w:val="24"/>
        </w:rPr>
        <w:t xml:space="preserve"> (indicatori iC01 e iC02)</w:t>
      </w:r>
      <w:r w:rsidR="00EE2760">
        <w:rPr>
          <w:rFonts w:cstheme="minorHAnsi"/>
          <w:color w:val="000000" w:themeColor="text1"/>
          <w:sz w:val="24"/>
        </w:rPr>
        <w:t>.</w:t>
      </w:r>
      <w:r w:rsidR="00756B74" w:rsidRPr="006F5153">
        <w:rPr>
          <w:rFonts w:cstheme="minorHAnsi"/>
          <w:color w:val="000000" w:themeColor="text1"/>
          <w:sz w:val="24"/>
        </w:rPr>
        <w:t xml:space="preserve"> </w:t>
      </w:r>
    </w:p>
    <w:p w14:paraId="05AE12BB" w14:textId="77777777" w:rsidR="003D675D" w:rsidRDefault="003D675D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4393A380" w14:textId="6B463063" w:rsidR="00D63E13" w:rsidRDefault="004A7F5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0" distR="0" wp14:anchorId="7EBB3262" wp14:editId="40F56E51">
            <wp:extent cx="6120130" cy="2422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74E8" w14:textId="1D1B60B5" w:rsidR="0030297F" w:rsidRPr="006F5153" w:rsidRDefault="00A647EE" w:rsidP="00A6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>L’</w:t>
      </w:r>
      <w:r w:rsidRPr="006F5153">
        <w:rPr>
          <w:rFonts w:cstheme="minorHAnsi"/>
          <w:b/>
          <w:color w:val="000000" w:themeColor="text1"/>
          <w:sz w:val="24"/>
          <w:u w:val="single"/>
        </w:rPr>
        <w:t>attrattività</w:t>
      </w:r>
      <w:r w:rsidRPr="006F5153">
        <w:rPr>
          <w:rFonts w:cstheme="minorHAnsi"/>
          <w:color w:val="000000" w:themeColor="text1"/>
          <w:sz w:val="24"/>
        </w:rPr>
        <w:t xml:space="preserve"> del </w:t>
      </w:r>
      <w:proofErr w:type="spellStart"/>
      <w:r w:rsidRPr="006F5153">
        <w:rPr>
          <w:rFonts w:cstheme="minorHAnsi"/>
          <w:color w:val="000000" w:themeColor="text1"/>
          <w:sz w:val="24"/>
        </w:rPr>
        <w:t>CdS</w:t>
      </w:r>
      <w:proofErr w:type="spellEnd"/>
      <w:r w:rsidRPr="006F5153">
        <w:rPr>
          <w:rFonts w:cstheme="minorHAnsi"/>
          <w:color w:val="000000" w:themeColor="text1"/>
          <w:sz w:val="24"/>
        </w:rPr>
        <w:t xml:space="preserve"> verso </w:t>
      </w:r>
      <w:r>
        <w:rPr>
          <w:rFonts w:cstheme="minorHAnsi"/>
          <w:color w:val="000000" w:themeColor="text1"/>
          <w:sz w:val="24"/>
        </w:rPr>
        <w:t xml:space="preserve">i </w:t>
      </w:r>
      <w:r w:rsidRPr="006F5153">
        <w:rPr>
          <w:rFonts w:cstheme="minorHAnsi"/>
          <w:color w:val="000000" w:themeColor="text1"/>
          <w:sz w:val="24"/>
        </w:rPr>
        <w:t xml:space="preserve">laureati </w:t>
      </w:r>
      <w:r>
        <w:rPr>
          <w:rFonts w:cstheme="minorHAnsi"/>
          <w:color w:val="000000" w:themeColor="text1"/>
          <w:sz w:val="24"/>
        </w:rPr>
        <w:t>triennali di</w:t>
      </w:r>
      <w:r w:rsidRPr="006F5153">
        <w:rPr>
          <w:rFonts w:cstheme="minorHAnsi"/>
          <w:color w:val="000000" w:themeColor="text1"/>
          <w:sz w:val="24"/>
        </w:rPr>
        <w:t xml:space="preserve"> altri Atenei costituisce una</w:t>
      </w:r>
      <w:r w:rsidR="008A236B">
        <w:rPr>
          <w:rFonts w:cstheme="minorHAnsi"/>
          <w:color w:val="000000" w:themeColor="text1"/>
          <w:sz w:val="24"/>
        </w:rPr>
        <w:t xml:space="preserve"> ben nota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Pr="007562E3">
        <w:rPr>
          <w:rFonts w:cstheme="minorHAnsi"/>
          <w:b/>
          <w:bCs/>
          <w:color w:val="000000" w:themeColor="text1"/>
          <w:sz w:val="24"/>
        </w:rPr>
        <w:t>criticità</w:t>
      </w:r>
      <w:r w:rsidR="00A876D6">
        <w:rPr>
          <w:rFonts w:cstheme="minorHAnsi"/>
          <w:b/>
          <w:bCs/>
          <w:color w:val="000000" w:themeColor="text1"/>
          <w:sz w:val="24"/>
        </w:rPr>
        <w:t xml:space="preserve"> </w:t>
      </w:r>
      <w:r w:rsidR="00A876D6" w:rsidRPr="006F5153">
        <w:rPr>
          <w:rFonts w:cstheme="minorHAnsi"/>
          <w:color w:val="000000" w:themeColor="text1"/>
          <w:sz w:val="24"/>
        </w:rPr>
        <w:t>(indicatore iC04)</w:t>
      </w:r>
      <w:r w:rsidR="008A236B">
        <w:rPr>
          <w:rFonts w:cstheme="minorHAnsi"/>
          <w:color w:val="000000" w:themeColor="text1"/>
          <w:sz w:val="24"/>
        </w:rPr>
        <w:t xml:space="preserve">, malgrado il dato </w:t>
      </w:r>
      <w:r w:rsidR="00A876D6">
        <w:rPr>
          <w:rFonts w:cstheme="minorHAnsi"/>
          <w:color w:val="000000" w:themeColor="text1"/>
          <w:sz w:val="24"/>
        </w:rPr>
        <w:t>di Bari appaia</w:t>
      </w:r>
      <w:r w:rsidR="008A236B">
        <w:rPr>
          <w:rFonts w:cstheme="minorHAnsi"/>
          <w:color w:val="000000" w:themeColor="text1"/>
          <w:sz w:val="24"/>
        </w:rPr>
        <w:t xml:space="preserve"> i</w:t>
      </w:r>
      <w:r w:rsidRPr="006F5153">
        <w:rPr>
          <w:rFonts w:cstheme="minorHAnsi"/>
          <w:color w:val="000000" w:themeColor="text1"/>
          <w:sz w:val="24"/>
        </w:rPr>
        <w:t xml:space="preserve">n linea con la macroregione. Il </w:t>
      </w:r>
      <w:r w:rsidR="002934EF">
        <w:rPr>
          <w:rFonts w:cstheme="minorHAnsi"/>
          <w:color w:val="000000" w:themeColor="text1"/>
          <w:sz w:val="24"/>
        </w:rPr>
        <w:t>trend</w:t>
      </w:r>
      <w:r w:rsidRPr="006F5153">
        <w:rPr>
          <w:rFonts w:cstheme="minorHAnsi"/>
          <w:color w:val="000000" w:themeColor="text1"/>
          <w:sz w:val="24"/>
        </w:rPr>
        <w:t xml:space="preserve"> è coerente con quanto riferito al punto precedente</w:t>
      </w:r>
      <w:r>
        <w:rPr>
          <w:rFonts w:cstheme="minorHAnsi"/>
          <w:color w:val="000000" w:themeColor="text1"/>
          <w:sz w:val="24"/>
        </w:rPr>
        <w:t>,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270306">
        <w:rPr>
          <w:rFonts w:cstheme="minorHAnsi"/>
          <w:color w:val="000000" w:themeColor="text1"/>
          <w:sz w:val="24"/>
        </w:rPr>
        <w:t>che evidenzia l’attrazione</w:t>
      </w:r>
      <w:r>
        <w:rPr>
          <w:rFonts w:cstheme="minorHAnsi"/>
          <w:color w:val="000000" w:themeColor="text1"/>
          <w:sz w:val="24"/>
        </w:rPr>
        <w:t xml:space="preserve"> de</w:t>
      </w:r>
      <w:r w:rsidRPr="006F5153">
        <w:rPr>
          <w:rFonts w:cstheme="minorHAnsi"/>
          <w:color w:val="000000" w:themeColor="text1"/>
          <w:sz w:val="24"/>
        </w:rPr>
        <w:t>i laureati triennali verso gli atenei del Nord Italia.</w:t>
      </w:r>
    </w:p>
    <w:p w14:paraId="023FC148" w14:textId="0746FD4D" w:rsidR="009433D6" w:rsidRPr="006F5153" w:rsidRDefault="009E3408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  <w:szCs w:val="24"/>
        </w:rPr>
        <w:t>I</w:t>
      </w:r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n </w:t>
      </w:r>
      <w:r w:rsidRPr="006F5153">
        <w:rPr>
          <w:rFonts w:cstheme="minorHAnsi"/>
          <w:color w:val="000000" w:themeColor="text1"/>
          <w:sz w:val="24"/>
          <w:szCs w:val="24"/>
        </w:rPr>
        <w:t>accordo</w:t>
      </w:r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 con il dato nazionale è</w:t>
      </w:r>
      <w:r w:rsidR="00270306">
        <w:rPr>
          <w:rFonts w:cstheme="minorHAnsi"/>
          <w:color w:val="000000" w:themeColor="text1"/>
          <w:sz w:val="24"/>
          <w:szCs w:val="24"/>
        </w:rPr>
        <w:t>,</w:t>
      </w:r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Pr="006F5153">
        <w:rPr>
          <w:rFonts w:cstheme="minorHAnsi"/>
          <w:color w:val="000000" w:themeColor="text1"/>
          <w:sz w:val="24"/>
          <w:szCs w:val="24"/>
        </w:rPr>
        <w:t>invece</w:t>
      </w:r>
      <w:r w:rsidR="00270306">
        <w:rPr>
          <w:rFonts w:cstheme="minorHAnsi"/>
          <w:color w:val="000000" w:themeColor="text1"/>
          <w:sz w:val="24"/>
          <w:szCs w:val="24"/>
        </w:rPr>
        <w:t>,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il rapporto studenti regolari/docenti (indicatore iC05) ed anche la percentuale dei docenti di ruolo che appartengono ai settori scientifico-disciplinari (SSD) di base e caratterizzanti per il </w:t>
      </w:r>
      <w:proofErr w:type="spellStart"/>
      <w:r w:rsidR="009433D6" w:rsidRPr="006F515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9433D6" w:rsidRPr="006F5153">
        <w:rPr>
          <w:rFonts w:cstheme="minorHAnsi"/>
          <w:color w:val="000000" w:themeColor="text1"/>
          <w:sz w:val="24"/>
          <w:szCs w:val="24"/>
        </w:rPr>
        <w:t xml:space="preserve"> (iC08).</w:t>
      </w:r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 Il resto degli indicatori di questo gruppo </w:t>
      </w:r>
      <w:r w:rsidR="00AE7625" w:rsidRPr="006F5153">
        <w:rPr>
          <w:rFonts w:cstheme="minorHAnsi"/>
          <w:color w:val="000000" w:themeColor="text1"/>
          <w:sz w:val="24"/>
          <w:szCs w:val="24"/>
        </w:rPr>
        <w:t xml:space="preserve">relativi alle percentuali di laureati occupati </w:t>
      </w:r>
      <w:r w:rsidR="004C31BF" w:rsidRPr="006F5153">
        <w:rPr>
          <w:rFonts w:cstheme="minorHAnsi"/>
          <w:color w:val="000000" w:themeColor="text1"/>
          <w:sz w:val="24"/>
          <w:szCs w:val="24"/>
        </w:rPr>
        <w:t xml:space="preserve">non si discosta dai valori della media nazionale e da quella della macroregione </w:t>
      </w:r>
    </w:p>
    <w:p w14:paraId="62E69FBA" w14:textId="77777777" w:rsidR="00962688" w:rsidRPr="006F5153" w:rsidRDefault="00962688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448A81BB" w14:textId="77777777" w:rsidR="000C7877" w:rsidRPr="00581215" w:rsidRDefault="000C787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Gruppo B – Indicatori di internazionalizzazione (DM 987/2016, allegato E)</w:t>
      </w:r>
    </w:p>
    <w:p w14:paraId="5CBA96D9" w14:textId="5990D1E6" w:rsidR="00673DD3" w:rsidRDefault="000C787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Il </w:t>
      </w:r>
      <w:r w:rsidR="00BE7164" w:rsidRPr="006F5153">
        <w:rPr>
          <w:rFonts w:cstheme="minorHAnsi"/>
          <w:color w:val="000000" w:themeColor="text1"/>
          <w:sz w:val="24"/>
        </w:rPr>
        <w:t xml:space="preserve">potenziamento della mobilità internazionale </w:t>
      </w:r>
      <w:r w:rsidR="00E50136" w:rsidRPr="006F5153">
        <w:rPr>
          <w:rFonts w:cstheme="minorHAnsi"/>
          <w:color w:val="000000" w:themeColor="text1"/>
          <w:sz w:val="24"/>
        </w:rPr>
        <w:t xml:space="preserve">nella magistrale </w:t>
      </w:r>
      <w:r w:rsidR="00BE7164" w:rsidRPr="006F5153">
        <w:rPr>
          <w:rFonts w:cstheme="minorHAnsi"/>
          <w:color w:val="000000" w:themeColor="text1"/>
          <w:sz w:val="24"/>
        </w:rPr>
        <w:t>è</w:t>
      </w:r>
      <w:r w:rsidR="00E50136" w:rsidRPr="006F5153">
        <w:rPr>
          <w:rFonts w:cstheme="minorHAnsi"/>
          <w:color w:val="000000" w:themeColor="text1"/>
          <w:sz w:val="24"/>
        </w:rPr>
        <w:t xml:space="preserve"> stato</w:t>
      </w:r>
      <w:r w:rsidR="00BE7164" w:rsidRPr="006F5153">
        <w:rPr>
          <w:rFonts w:cstheme="minorHAnsi"/>
          <w:color w:val="000000" w:themeColor="text1"/>
          <w:sz w:val="24"/>
        </w:rPr>
        <w:t xml:space="preserve"> uno dei punti fermi dell'azione del corso di laurea degli ultimi anni. </w:t>
      </w:r>
      <w:r w:rsidR="00183739" w:rsidRPr="006F5153">
        <w:rPr>
          <w:rFonts w:cstheme="minorHAnsi"/>
          <w:color w:val="000000" w:themeColor="text1"/>
          <w:sz w:val="24"/>
        </w:rPr>
        <w:t>I dati dell’</w:t>
      </w:r>
      <w:r w:rsidR="00102209" w:rsidRPr="006F5153">
        <w:rPr>
          <w:rFonts w:cstheme="minorHAnsi"/>
          <w:color w:val="000000" w:themeColor="text1"/>
          <w:sz w:val="24"/>
        </w:rPr>
        <w:t xml:space="preserve">indicatore iC10 sono confortanti </w:t>
      </w:r>
      <w:r w:rsidR="00D31BD4" w:rsidRPr="006F5153">
        <w:rPr>
          <w:rFonts w:cstheme="minorHAnsi"/>
          <w:color w:val="000000" w:themeColor="text1"/>
          <w:sz w:val="24"/>
        </w:rPr>
        <w:t xml:space="preserve">e mostrano </w:t>
      </w:r>
      <w:r w:rsidR="00394AAC" w:rsidRPr="006F5153">
        <w:rPr>
          <w:rFonts w:cstheme="minorHAnsi"/>
          <w:color w:val="000000" w:themeColor="text1"/>
          <w:sz w:val="24"/>
        </w:rPr>
        <w:t xml:space="preserve">nel </w:t>
      </w:r>
      <w:r w:rsidR="00C871D3">
        <w:rPr>
          <w:rFonts w:cstheme="minorHAnsi"/>
          <w:color w:val="000000" w:themeColor="text1"/>
          <w:sz w:val="24"/>
        </w:rPr>
        <w:t>quadriennio</w:t>
      </w:r>
      <w:r w:rsidR="00394AAC" w:rsidRPr="006F5153">
        <w:rPr>
          <w:rFonts w:cstheme="minorHAnsi"/>
          <w:color w:val="000000" w:themeColor="text1"/>
          <w:sz w:val="24"/>
        </w:rPr>
        <w:t xml:space="preserve"> in esame 201</w:t>
      </w:r>
      <w:r w:rsidR="006D7ED6">
        <w:rPr>
          <w:rFonts w:cstheme="minorHAnsi"/>
          <w:color w:val="000000" w:themeColor="text1"/>
          <w:sz w:val="24"/>
        </w:rPr>
        <w:t>5</w:t>
      </w:r>
      <w:r w:rsidR="00394AAC" w:rsidRPr="006F5153">
        <w:rPr>
          <w:rFonts w:cstheme="minorHAnsi"/>
          <w:color w:val="000000" w:themeColor="text1"/>
          <w:sz w:val="24"/>
        </w:rPr>
        <w:t>-201</w:t>
      </w:r>
      <w:r w:rsidR="006D7ED6">
        <w:rPr>
          <w:rFonts w:cstheme="minorHAnsi"/>
          <w:color w:val="000000" w:themeColor="text1"/>
          <w:sz w:val="24"/>
        </w:rPr>
        <w:t>8</w:t>
      </w:r>
      <w:r w:rsidR="00394AAC" w:rsidRPr="006F5153">
        <w:rPr>
          <w:rFonts w:cstheme="minorHAnsi"/>
          <w:color w:val="000000" w:themeColor="text1"/>
          <w:sz w:val="24"/>
        </w:rPr>
        <w:t xml:space="preserve"> un crescente numero di CFU acquisiti all’estero superando anche i valori della media nazionale</w:t>
      </w:r>
      <w:r w:rsidR="006D7ED6">
        <w:rPr>
          <w:rFonts w:cstheme="minorHAnsi"/>
          <w:color w:val="000000" w:themeColor="text1"/>
          <w:sz w:val="24"/>
        </w:rPr>
        <w:t xml:space="preserve"> (con l’eccezione del 2017)</w:t>
      </w:r>
      <w:r w:rsidR="00394AAC" w:rsidRPr="006F5153">
        <w:rPr>
          <w:rFonts w:cstheme="minorHAnsi"/>
          <w:color w:val="000000" w:themeColor="text1"/>
          <w:sz w:val="24"/>
        </w:rPr>
        <w:t>.</w:t>
      </w:r>
      <w:r w:rsidR="00BE7164" w:rsidRPr="006F5153">
        <w:rPr>
          <w:rFonts w:cstheme="minorHAnsi"/>
          <w:color w:val="000000" w:themeColor="text1"/>
          <w:sz w:val="24"/>
        </w:rPr>
        <w:t xml:space="preserve"> Oltre che potenziare la mobilità in uscita, è stata favorita anche quella in entrata. Nell'ultimo </w:t>
      </w:r>
      <w:r w:rsidR="00C871D3">
        <w:rPr>
          <w:rFonts w:cstheme="minorHAnsi"/>
          <w:color w:val="000000" w:themeColor="text1"/>
          <w:sz w:val="24"/>
        </w:rPr>
        <w:t>quadriennio</w:t>
      </w:r>
      <w:r w:rsidR="000829CE" w:rsidRPr="006F5153">
        <w:rPr>
          <w:rFonts w:cstheme="minorHAnsi"/>
          <w:color w:val="000000" w:themeColor="text1"/>
          <w:sz w:val="24"/>
        </w:rPr>
        <w:t xml:space="preserve"> si sono registrati </w:t>
      </w:r>
      <w:r w:rsidR="006D7ED6">
        <w:rPr>
          <w:rFonts w:cstheme="minorHAnsi"/>
          <w:color w:val="000000" w:themeColor="text1"/>
          <w:sz w:val="24"/>
        </w:rPr>
        <w:t xml:space="preserve">diversi </w:t>
      </w:r>
      <w:r w:rsidR="000829CE" w:rsidRPr="006F5153">
        <w:rPr>
          <w:rFonts w:cstheme="minorHAnsi"/>
          <w:color w:val="000000" w:themeColor="text1"/>
          <w:sz w:val="24"/>
        </w:rPr>
        <w:t>“</w:t>
      </w:r>
      <w:r w:rsidR="00BE7164" w:rsidRPr="006F5153">
        <w:rPr>
          <w:rFonts w:cstheme="minorHAnsi"/>
          <w:color w:val="000000" w:themeColor="text1"/>
          <w:sz w:val="24"/>
        </w:rPr>
        <w:t xml:space="preserve">incoming </w:t>
      </w:r>
      <w:proofErr w:type="spellStart"/>
      <w:r w:rsidR="00BE7164" w:rsidRPr="006F5153">
        <w:rPr>
          <w:rFonts w:cstheme="minorHAnsi"/>
          <w:color w:val="000000" w:themeColor="text1"/>
          <w:sz w:val="24"/>
        </w:rPr>
        <w:t>students</w:t>
      </w:r>
      <w:proofErr w:type="spellEnd"/>
      <w:r w:rsidR="000829CE" w:rsidRPr="006F5153">
        <w:rPr>
          <w:rFonts w:cstheme="minorHAnsi"/>
          <w:color w:val="000000" w:themeColor="text1"/>
          <w:sz w:val="24"/>
        </w:rPr>
        <w:t>”</w:t>
      </w:r>
      <w:r w:rsidR="000829CE" w:rsidRPr="006F5153">
        <w:rPr>
          <w:rFonts w:ascii="Calibri" w:hAnsi="Calibri" w:cs="Calibri"/>
          <w:color w:val="000000" w:themeColor="text1"/>
          <w:sz w:val="24"/>
        </w:rPr>
        <w:t xml:space="preserve">. </w:t>
      </w:r>
      <w:r w:rsidR="00BE7164" w:rsidRPr="006F5153">
        <w:rPr>
          <w:rFonts w:cstheme="minorHAnsi"/>
          <w:color w:val="000000" w:themeColor="text1"/>
          <w:sz w:val="24"/>
        </w:rPr>
        <w:t xml:space="preserve">Inoltre, a partire dall'AA 2016-17, ben 7 corsi della LM-54, dei quali 3 incardinati nel piano di studi, </w:t>
      </w:r>
      <w:r w:rsidR="000829CE" w:rsidRPr="006F5153">
        <w:rPr>
          <w:rFonts w:cstheme="minorHAnsi"/>
          <w:color w:val="000000" w:themeColor="text1"/>
          <w:sz w:val="24"/>
        </w:rPr>
        <w:t>sono</w:t>
      </w:r>
      <w:r w:rsidR="00BE7164" w:rsidRPr="006F5153">
        <w:rPr>
          <w:rFonts w:cstheme="minorHAnsi"/>
          <w:color w:val="000000" w:themeColor="text1"/>
          <w:sz w:val="24"/>
        </w:rPr>
        <w:t xml:space="preserve"> fruibili da </w:t>
      </w:r>
      <w:r w:rsidR="0024468A" w:rsidRPr="006F5153">
        <w:rPr>
          <w:rFonts w:cstheme="minorHAnsi"/>
          <w:color w:val="000000" w:themeColor="text1"/>
          <w:sz w:val="24"/>
        </w:rPr>
        <w:t>“incoming</w:t>
      </w:r>
      <w:r w:rsidR="00BE7164" w:rsidRPr="006F5153">
        <w:rPr>
          <w:rFonts w:cstheme="minorHAnsi"/>
          <w:color w:val="000000" w:themeColor="text1"/>
          <w:sz w:val="24"/>
        </w:rPr>
        <w:t xml:space="preserve"> Erasmus</w:t>
      </w:r>
      <w:r w:rsidR="0024468A" w:rsidRPr="006F5153">
        <w:rPr>
          <w:rFonts w:cstheme="minorHAnsi"/>
          <w:color w:val="000000" w:themeColor="text1"/>
          <w:sz w:val="24"/>
        </w:rPr>
        <w:t>”</w:t>
      </w:r>
      <w:r w:rsidR="00BE7164" w:rsidRPr="006F5153">
        <w:rPr>
          <w:rFonts w:cstheme="minorHAnsi"/>
          <w:color w:val="000000" w:themeColor="text1"/>
          <w:sz w:val="24"/>
        </w:rPr>
        <w:t xml:space="preserve"> in lingua inglese.</w:t>
      </w:r>
      <w:r w:rsidR="00905819" w:rsidRPr="006F5153">
        <w:rPr>
          <w:rFonts w:cstheme="minorHAnsi"/>
          <w:color w:val="000000" w:themeColor="text1"/>
          <w:sz w:val="24"/>
        </w:rPr>
        <w:t xml:space="preserve"> </w:t>
      </w:r>
      <w:r w:rsidR="00735A39" w:rsidRPr="006F5153">
        <w:rPr>
          <w:rFonts w:cstheme="minorHAnsi"/>
          <w:color w:val="000000" w:themeColor="text1"/>
          <w:sz w:val="24"/>
        </w:rPr>
        <w:t>La spinta sull</w:t>
      </w:r>
      <w:r w:rsidRPr="006F5153">
        <w:rPr>
          <w:rFonts w:cstheme="minorHAnsi"/>
          <w:color w:val="000000" w:themeColor="text1"/>
          <w:sz w:val="24"/>
        </w:rPr>
        <w:t xml:space="preserve">’Internazionalizzazione </w:t>
      </w:r>
      <w:r w:rsidR="006A35AD" w:rsidRPr="006F5153">
        <w:rPr>
          <w:rFonts w:cstheme="minorHAnsi"/>
          <w:color w:val="000000" w:themeColor="text1"/>
          <w:sz w:val="24"/>
        </w:rPr>
        <w:t xml:space="preserve">è sostenuta anche </w:t>
      </w:r>
      <w:r w:rsidR="00735A39" w:rsidRPr="006F5153">
        <w:rPr>
          <w:rFonts w:cstheme="minorHAnsi"/>
          <w:color w:val="000000" w:themeColor="text1"/>
          <w:sz w:val="24"/>
        </w:rPr>
        <w:t xml:space="preserve">con la promozione </w:t>
      </w:r>
      <w:r w:rsidR="00905819" w:rsidRPr="006F5153">
        <w:rPr>
          <w:rFonts w:cstheme="minorHAnsi"/>
          <w:color w:val="000000" w:themeColor="text1"/>
          <w:sz w:val="24"/>
        </w:rPr>
        <w:t>da parte del</w:t>
      </w:r>
      <w:r w:rsidR="00735A39" w:rsidRPr="006F5153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="00735A39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735A39" w:rsidRPr="006F5153">
        <w:rPr>
          <w:rFonts w:cstheme="minorHAnsi"/>
          <w:color w:val="000000" w:themeColor="text1"/>
          <w:sz w:val="24"/>
        </w:rPr>
        <w:t xml:space="preserve"> di numerose</w:t>
      </w:r>
      <w:r w:rsidRPr="006F5153">
        <w:rPr>
          <w:rFonts w:cstheme="minorHAnsi"/>
          <w:color w:val="000000" w:themeColor="text1"/>
          <w:sz w:val="24"/>
        </w:rPr>
        <w:t xml:space="preserve"> “Global </w:t>
      </w:r>
      <w:proofErr w:type="spellStart"/>
      <w:r w:rsidRPr="006F5153">
        <w:rPr>
          <w:rFonts w:cstheme="minorHAnsi"/>
          <w:color w:val="000000" w:themeColor="text1"/>
          <w:sz w:val="24"/>
        </w:rPr>
        <w:t>Thesis</w:t>
      </w:r>
      <w:proofErr w:type="spellEnd"/>
      <w:r w:rsidRPr="006F5153">
        <w:rPr>
          <w:rFonts w:cstheme="minorHAnsi"/>
          <w:color w:val="000000" w:themeColor="text1"/>
          <w:sz w:val="24"/>
        </w:rPr>
        <w:t>”</w:t>
      </w:r>
      <w:r w:rsidR="00735A39" w:rsidRPr="006F5153">
        <w:rPr>
          <w:rFonts w:cstheme="minorHAnsi"/>
          <w:color w:val="000000" w:themeColor="text1"/>
          <w:sz w:val="24"/>
        </w:rPr>
        <w:t xml:space="preserve"> (</w:t>
      </w:r>
      <w:r w:rsidR="00D307B3">
        <w:rPr>
          <w:rFonts w:cstheme="minorHAnsi"/>
          <w:color w:val="000000" w:themeColor="text1"/>
          <w:sz w:val="24"/>
        </w:rPr>
        <w:t>5</w:t>
      </w:r>
      <w:r w:rsidR="00735A39" w:rsidRPr="006F5153">
        <w:rPr>
          <w:rFonts w:cstheme="minorHAnsi"/>
          <w:color w:val="000000" w:themeColor="text1"/>
          <w:sz w:val="24"/>
        </w:rPr>
        <w:t xml:space="preserve"> progetti </w:t>
      </w:r>
      <w:r w:rsidR="00905819" w:rsidRPr="006F5153">
        <w:rPr>
          <w:rFonts w:cstheme="minorHAnsi"/>
          <w:color w:val="000000" w:themeColor="text1"/>
          <w:sz w:val="24"/>
        </w:rPr>
        <w:t xml:space="preserve">nel </w:t>
      </w:r>
      <w:r w:rsidR="00D307B3">
        <w:rPr>
          <w:rFonts w:cstheme="minorHAnsi"/>
          <w:color w:val="000000" w:themeColor="text1"/>
          <w:sz w:val="24"/>
        </w:rPr>
        <w:t>nell’AA 2018-2019</w:t>
      </w:r>
      <w:r w:rsidR="00735A39" w:rsidRPr="006F5153">
        <w:rPr>
          <w:rFonts w:cstheme="minorHAnsi"/>
          <w:color w:val="000000" w:themeColor="text1"/>
          <w:sz w:val="24"/>
        </w:rPr>
        <w:t>).</w:t>
      </w:r>
      <w:r w:rsidR="00673DD3" w:rsidRPr="006F5153">
        <w:rPr>
          <w:rFonts w:cstheme="minorHAnsi"/>
          <w:color w:val="000000" w:themeColor="text1"/>
          <w:sz w:val="24"/>
        </w:rPr>
        <w:t xml:space="preserve"> </w:t>
      </w:r>
      <w:r w:rsidR="00C437DE" w:rsidRPr="006F5153">
        <w:rPr>
          <w:rFonts w:cstheme="minorHAnsi"/>
          <w:color w:val="000000" w:themeColor="text1"/>
          <w:sz w:val="24"/>
        </w:rPr>
        <w:t xml:space="preserve">Critico ma vicino alla media nazionale rimane il dato sui laureati in corso che abbiano acquisito </w:t>
      </w:r>
      <w:r w:rsidR="006D7ED6">
        <w:rPr>
          <w:rFonts w:cstheme="minorHAnsi"/>
          <w:color w:val="000000" w:themeColor="text1"/>
          <w:sz w:val="24"/>
        </w:rPr>
        <w:t xml:space="preserve">almeno 12 </w:t>
      </w:r>
      <w:r w:rsidR="00C437DE" w:rsidRPr="006F5153">
        <w:rPr>
          <w:rFonts w:cstheme="minorHAnsi"/>
          <w:color w:val="000000" w:themeColor="text1"/>
          <w:sz w:val="24"/>
        </w:rPr>
        <w:t xml:space="preserve">CFU all’estero (iC11), segno che la mobilità Erasmus tende a rallentare il tempo medio </w:t>
      </w:r>
      <w:r w:rsidR="00B4261E" w:rsidRPr="006F5153">
        <w:rPr>
          <w:rFonts w:cstheme="minorHAnsi"/>
          <w:color w:val="000000" w:themeColor="text1"/>
          <w:sz w:val="24"/>
        </w:rPr>
        <w:t>necessario per</w:t>
      </w:r>
      <w:r w:rsidR="00C437DE" w:rsidRPr="006F5153">
        <w:rPr>
          <w:rFonts w:cstheme="minorHAnsi"/>
          <w:color w:val="000000" w:themeColor="text1"/>
          <w:sz w:val="24"/>
        </w:rPr>
        <w:t xml:space="preserve"> laurea</w:t>
      </w:r>
      <w:r w:rsidR="00B4261E" w:rsidRPr="006F5153">
        <w:rPr>
          <w:rFonts w:cstheme="minorHAnsi"/>
          <w:color w:val="000000" w:themeColor="text1"/>
          <w:sz w:val="24"/>
        </w:rPr>
        <w:t>rsi</w:t>
      </w:r>
      <w:r w:rsidR="00C437DE" w:rsidRPr="006F5153">
        <w:rPr>
          <w:rFonts w:cstheme="minorHAnsi"/>
          <w:color w:val="000000" w:themeColor="text1"/>
          <w:sz w:val="24"/>
        </w:rPr>
        <w:t>.</w:t>
      </w:r>
    </w:p>
    <w:p w14:paraId="50192043" w14:textId="6EF7902A" w:rsidR="00B8410E" w:rsidRDefault="00B8410E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A6295B1" w14:textId="3350C82B" w:rsidR="00B8410E" w:rsidRDefault="0034745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347456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3B92C605" wp14:editId="490BF0FF">
            <wp:extent cx="6120130" cy="12065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A0B0" w14:textId="4FEAE394" w:rsidR="00B8410E" w:rsidRDefault="006D7ED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D7ED6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0E9D1E3F" wp14:editId="5AF73BED">
            <wp:extent cx="6120130" cy="2476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8162" w14:textId="77777777" w:rsidR="006E2AEF" w:rsidRDefault="006E2AEF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323208DF" w14:textId="77777777" w:rsidR="00673DD3" w:rsidRPr="00581215" w:rsidRDefault="00673DD3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Gruppo E – Ulteriori Indicatori per la valutazione della didattica (DM 987/2016, allegato E)</w:t>
      </w:r>
    </w:p>
    <w:p w14:paraId="410D40DF" w14:textId="41B0935B" w:rsidR="0048601D" w:rsidRDefault="001207A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Un sensibile miglioramento si osserva a partire dall’anno 2017 nei</w:t>
      </w:r>
      <w:r w:rsidR="00030A2B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030A2B" w:rsidRPr="005B0C71">
        <w:rPr>
          <w:rFonts w:cstheme="minorHAnsi"/>
          <w:b/>
          <w:bCs/>
          <w:color w:val="000000" w:themeColor="text1"/>
          <w:sz w:val="24"/>
          <w:szCs w:val="24"/>
        </w:rPr>
        <w:t xml:space="preserve">CFU acquisiti </w:t>
      </w:r>
      <w:r w:rsidR="00030A2B" w:rsidRPr="006F5153">
        <w:rPr>
          <w:rFonts w:cstheme="minorHAnsi"/>
          <w:color w:val="000000" w:themeColor="text1"/>
          <w:sz w:val="24"/>
          <w:szCs w:val="24"/>
        </w:rPr>
        <w:t xml:space="preserve">nel </w:t>
      </w:r>
      <w:r w:rsidR="00030A2B" w:rsidRPr="006F5153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passaggio </w:t>
      </w:r>
      <w:bookmarkStart w:id="1" w:name="_Hlk529029096"/>
      <w:r w:rsidR="00030A2B" w:rsidRPr="006F5153">
        <w:rPr>
          <w:rFonts w:cstheme="minorHAnsi"/>
          <w:b/>
          <w:color w:val="000000" w:themeColor="text1"/>
          <w:sz w:val="24"/>
          <w:szCs w:val="24"/>
          <w:u w:val="single"/>
        </w:rPr>
        <w:t>tra il I ed il II anno</w:t>
      </w:r>
      <w:bookmarkEnd w:id="1"/>
      <w:r>
        <w:rPr>
          <w:rFonts w:cstheme="minorHAnsi"/>
          <w:color w:val="000000" w:themeColor="text1"/>
          <w:sz w:val="24"/>
          <w:szCs w:val="24"/>
        </w:rPr>
        <w:t>.</w:t>
      </w:r>
      <w:r w:rsidR="00030A2B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E73F56">
        <w:rPr>
          <w:rFonts w:cstheme="minorHAnsi"/>
          <w:color w:val="000000" w:themeColor="text1"/>
          <w:sz w:val="24"/>
          <w:szCs w:val="24"/>
        </w:rPr>
        <w:t xml:space="preserve">Questa tendenza positiva trova conferma nei dati ancora ufficiosi del </w:t>
      </w:r>
      <w:r w:rsidR="00021292">
        <w:rPr>
          <w:rFonts w:cstheme="minorHAnsi"/>
          <w:color w:val="000000" w:themeColor="text1"/>
          <w:sz w:val="24"/>
          <w:szCs w:val="24"/>
        </w:rPr>
        <w:t>2019</w:t>
      </w:r>
      <w:r w:rsidR="00E73F56">
        <w:rPr>
          <w:rFonts w:cstheme="minorHAnsi"/>
          <w:color w:val="000000" w:themeColor="text1"/>
          <w:sz w:val="24"/>
          <w:szCs w:val="24"/>
        </w:rPr>
        <w:t xml:space="preserve">. </w:t>
      </w:r>
      <w:r w:rsidR="007601A9" w:rsidRPr="006F5153">
        <w:rPr>
          <w:rFonts w:cstheme="minorHAnsi"/>
          <w:color w:val="000000" w:themeColor="text1"/>
          <w:sz w:val="24"/>
          <w:szCs w:val="24"/>
        </w:rPr>
        <w:t xml:space="preserve">Tra le </w:t>
      </w:r>
      <w:r w:rsidR="007601A9" w:rsidRPr="006F5153">
        <w:rPr>
          <w:rFonts w:cstheme="minorHAnsi"/>
          <w:color w:val="000000" w:themeColor="text1"/>
          <w:sz w:val="24"/>
          <w:szCs w:val="24"/>
        </w:rPr>
        <w:lastRenderedPageBreak/>
        <w:t>finalità dell</w:t>
      </w:r>
      <w:r w:rsidR="007D5403" w:rsidRPr="006F5153">
        <w:rPr>
          <w:rFonts w:cstheme="minorHAnsi"/>
          <w:color w:val="000000" w:themeColor="text1"/>
          <w:sz w:val="24"/>
          <w:szCs w:val="24"/>
        </w:rPr>
        <w:t xml:space="preserve">a modifica ordinamentale 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varata dal </w:t>
      </w:r>
      <w:proofErr w:type="spellStart"/>
      <w:r w:rsidR="00236FA8" w:rsidRPr="006F5153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 n</w:t>
      </w:r>
      <w:r w:rsidR="007D5403" w:rsidRPr="006F5153">
        <w:rPr>
          <w:rFonts w:cstheme="minorHAnsi"/>
          <w:color w:val="000000" w:themeColor="text1"/>
          <w:sz w:val="24"/>
          <w:szCs w:val="24"/>
        </w:rPr>
        <w:t xml:space="preserve">el 2018-19 </w:t>
      </w:r>
      <w:r w:rsidR="007601A9" w:rsidRPr="006F5153">
        <w:rPr>
          <w:rFonts w:cstheme="minorHAnsi"/>
          <w:color w:val="000000" w:themeColor="text1"/>
          <w:sz w:val="24"/>
          <w:szCs w:val="24"/>
        </w:rPr>
        <w:t xml:space="preserve">vi è proprio </w:t>
      </w:r>
      <w:r w:rsidR="00D00976" w:rsidRPr="006F5153">
        <w:rPr>
          <w:rFonts w:cstheme="minorHAnsi"/>
          <w:color w:val="000000" w:themeColor="text1"/>
          <w:sz w:val="24"/>
          <w:szCs w:val="24"/>
        </w:rPr>
        <w:t>la semplificazione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D00976" w:rsidRPr="006F5153">
        <w:rPr>
          <w:rFonts w:cstheme="minorHAnsi"/>
          <w:color w:val="000000" w:themeColor="text1"/>
          <w:sz w:val="24"/>
          <w:szCs w:val="24"/>
        </w:rPr>
        <w:t>de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l percorso di studi </w:t>
      </w:r>
      <w:r w:rsidR="00D00976" w:rsidRPr="006F5153">
        <w:rPr>
          <w:rFonts w:cstheme="minorHAnsi"/>
          <w:color w:val="000000" w:themeColor="text1"/>
          <w:sz w:val="24"/>
          <w:szCs w:val="24"/>
        </w:rPr>
        <w:t>(eliminando gli indirizz</w:t>
      </w:r>
      <w:r w:rsidR="00F92E10" w:rsidRPr="006F5153">
        <w:rPr>
          <w:rFonts w:cstheme="minorHAnsi"/>
          <w:color w:val="000000" w:themeColor="text1"/>
          <w:sz w:val="24"/>
          <w:szCs w:val="24"/>
        </w:rPr>
        <w:t xml:space="preserve">i ed introducendo </w:t>
      </w:r>
      <w:r w:rsidR="00021292">
        <w:rPr>
          <w:rFonts w:cstheme="minorHAnsi"/>
          <w:color w:val="000000" w:themeColor="text1"/>
          <w:sz w:val="24"/>
          <w:szCs w:val="24"/>
        </w:rPr>
        <w:t xml:space="preserve">alcune </w:t>
      </w:r>
      <w:r w:rsidR="00F92E10" w:rsidRPr="006F5153">
        <w:rPr>
          <w:rFonts w:cstheme="minorHAnsi"/>
          <w:color w:val="000000" w:themeColor="text1"/>
          <w:sz w:val="24"/>
          <w:szCs w:val="24"/>
        </w:rPr>
        <w:t xml:space="preserve">annualità), </w:t>
      </w:r>
      <w:r w:rsidR="00021292">
        <w:rPr>
          <w:rFonts w:cstheme="minorHAnsi"/>
          <w:color w:val="000000" w:themeColor="text1"/>
          <w:sz w:val="24"/>
          <w:szCs w:val="24"/>
        </w:rPr>
        <w:t>al fine di</w:t>
      </w:r>
      <w:r w:rsidR="00F92E10" w:rsidRPr="006F5153">
        <w:rPr>
          <w:rFonts w:cstheme="minorHAnsi"/>
          <w:color w:val="000000" w:themeColor="text1"/>
          <w:sz w:val="24"/>
          <w:szCs w:val="24"/>
        </w:rPr>
        <w:t xml:space="preserve"> permettere un più rapido superamento del 1° anno</w:t>
      </w:r>
      <w:r w:rsidR="00BF3C6B">
        <w:rPr>
          <w:rFonts w:cstheme="minorHAnsi"/>
          <w:color w:val="000000" w:themeColor="text1"/>
          <w:sz w:val="24"/>
          <w:szCs w:val="24"/>
        </w:rPr>
        <w:t>, che è quello più gravoso in termini di CFU</w:t>
      </w:r>
      <w:r w:rsidR="00236FA8" w:rsidRPr="006F5153">
        <w:rPr>
          <w:rFonts w:cstheme="minorHAnsi"/>
          <w:color w:val="000000" w:themeColor="text1"/>
          <w:sz w:val="24"/>
          <w:szCs w:val="24"/>
        </w:rPr>
        <w:t xml:space="preserve">. </w:t>
      </w:r>
      <w:r w:rsidR="00D25BED">
        <w:rPr>
          <w:rFonts w:cstheme="minorHAnsi"/>
          <w:color w:val="000000" w:themeColor="text1"/>
          <w:sz w:val="24"/>
          <w:szCs w:val="24"/>
        </w:rPr>
        <w:t>Tuttavia, p</w:t>
      </w:r>
      <w:r w:rsidR="008C2E19" w:rsidRPr="006F5153">
        <w:rPr>
          <w:rFonts w:cstheme="minorHAnsi"/>
          <w:color w:val="000000" w:themeColor="text1"/>
          <w:sz w:val="24"/>
          <w:szCs w:val="24"/>
        </w:rPr>
        <w:t>er valutare i benefici di questa azione occorrerà attendere il 2021</w:t>
      </w:r>
      <w:r w:rsidR="00ED33E1">
        <w:rPr>
          <w:rFonts w:cstheme="minorHAnsi"/>
          <w:color w:val="000000" w:themeColor="text1"/>
          <w:sz w:val="24"/>
          <w:szCs w:val="24"/>
        </w:rPr>
        <w:t xml:space="preserve"> dove si spera di riportare i valori di questi indicatori in linea con i dati nazionali.</w:t>
      </w:r>
    </w:p>
    <w:p w14:paraId="16C382E9" w14:textId="77777777" w:rsidR="005758E4" w:rsidRDefault="005758E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90BFBF6" w14:textId="6581F018" w:rsidR="001207A6" w:rsidRDefault="001207A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B6FB1C3" w14:textId="3ED1EC03" w:rsidR="00ED33E1" w:rsidRDefault="00BD47BE" w:rsidP="00BD47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D47BE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CD57AB" wp14:editId="501C7DEA">
            <wp:simplePos x="0" y="0"/>
            <wp:positionH relativeFrom="column">
              <wp:posOffset>635</wp:posOffset>
            </wp:positionH>
            <wp:positionV relativeFrom="paragraph">
              <wp:posOffset>2716530</wp:posOffset>
            </wp:positionV>
            <wp:extent cx="6120130" cy="127635"/>
            <wp:effectExtent l="0" t="0" r="0" b="571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8E4" w:rsidRPr="005758E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B286492" wp14:editId="0E84934B">
            <wp:extent cx="6120130" cy="2714625"/>
            <wp:effectExtent l="0" t="0" r="0" b="952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914C0" w14:textId="0DC0F70A" w:rsidR="001207A6" w:rsidRDefault="001207A6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4B297DF" w14:textId="73B5EC7B" w:rsidR="009B54E9" w:rsidRPr="006F5153" w:rsidRDefault="009B54E9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17DC8D01" w14:textId="77777777" w:rsidR="00FF21E2" w:rsidRPr="00581215" w:rsidRDefault="009F6C51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Percorso di studio e regolarità delle carriere</w:t>
      </w:r>
    </w:p>
    <w:p w14:paraId="1D11D418" w14:textId="4108A2D6" w:rsidR="009F6C51" w:rsidRPr="006F5153" w:rsidRDefault="002921E9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5153">
        <w:rPr>
          <w:rFonts w:cstheme="minorHAnsi"/>
          <w:color w:val="000000" w:themeColor="text1"/>
          <w:sz w:val="24"/>
          <w:szCs w:val="24"/>
        </w:rPr>
        <w:t xml:space="preserve">Tra gli indicatori </w:t>
      </w:r>
      <w:r w:rsidR="00C909C3">
        <w:rPr>
          <w:rFonts w:cstheme="minorHAnsi"/>
          <w:color w:val="000000" w:themeColor="text1"/>
          <w:sz w:val="24"/>
          <w:szCs w:val="24"/>
        </w:rPr>
        <w:t xml:space="preserve">significativi </w:t>
      </w:r>
      <w:r w:rsidRPr="006F5153">
        <w:rPr>
          <w:rFonts w:cstheme="minorHAnsi"/>
          <w:color w:val="000000" w:themeColor="text1"/>
          <w:sz w:val="24"/>
          <w:szCs w:val="24"/>
        </w:rPr>
        <w:t>di questo gruppo</w:t>
      </w:r>
      <w:r w:rsidR="00742394">
        <w:rPr>
          <w:rFonts w:cstheme="minorHAnsi"/>
          <w:color w:val="000000" w:themeColor="text1"/>
          <w:sz w:val="24"/>
          <w:szCs w:val="24"/>
        </w:rPr>
        <w:t>,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2" w:name="_Hlk22479513"/>
      <w:r w:rsidR="00C909C3">
        <w:rPr>
          <w:rFonts w:cstheme="minorHAnsi"/>
          <w:color w:val="000000" w:themeColor="text1"/>
          <w:sz w:val="24"/>
          <w:szCs w:val="24"/>
        </w:rPr>
        <w:t xml:space="preserve">si segnala 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quello relativo </w:t>
      </w:r>
      <w:r w:rsidR="00123D7B" w:rsidRPr="006F5153">
        <w:rPr>
          <w:rFonts w:cstheme="minorHAnsi"/>
          <w:color w:val="000000" w:themeColor="text1"/>
          <w:sz w:val="24"/>
          <w:szCs w:val="24"/>
        </w:rPr>
        <w:t>al numero di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laureati in corso</w:t>
      </w:r>
      <w:r w:rsidR="00C909C3">
        <w:rPr>
          <w:rFonts w:cstheme="minorHAnsi"/>
          <w:color w:val="000000" w:themeColor="text1"/>
          <w:sz w:val="24"/>
          <w:szCs w:val="24"/>
        </w:rPr>
        <w:t>, che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742394">
        <w:rPr>
          <w:rFonts w:cstheme="minorHAnsi"/>
          <w:color w:val="000000" w:themeColor="text1"/>
          <w:sz w:val="24"/>
          <w:szCs w:val="24"/>
        </w:rPr>
        <w:t>evidenzia</w:t>
      </w:r>
      <w:r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C909C3">
        <w:rPr>
          <w:rFonts w:cstheme="minorHAnsi"/>
          <w:color w:val="000000" w:themeColor="text1"/>
          <w:sz w:val="24"/>
          <w:szCs w:val="24"/>
        </w:rPr>
        <w:t>un trend positivo nel 2018 che riporta il dato in linea con la media nazionale</w:t>
      </w:r>
      <w:r w:rsidR="00123D7B" w:rsidRPr="006F5153">
        <w:rPr>
          <w:rFonts w:cstheme="minorHAnsi"/>
          <w:color w:val="000000" w:themeColor="text1"/>
          <w:sz w:val="24"/>
          <w:szCs w:val="24"/>
        </w:rPr>
        <w:t xml:space="preserve"> (iC22). </w:t>
      </w:r>
      <w:r w:rsidR="00232571" w:rsidRPr="006F5153">
        <w:rPr>
          <w:rFonts w:cstheme="minorHAnsi"/>
          <w:color w:val="000000" w:themeColor="text1"/>
          <w:sz w:val="24"/>
          <w:szCs w:val="24"/>
        </w:rPr>
        <w:t>Confortant</w:t>
      </w:r>
      <w:r w:rsidR="00C909C3">
        <w:rPr>
          <w:rFonts w:cstheme="minorHAnsi"/>
          <w:color w:val="000000" w:themeColor="text1"/>
          <w:sz w:val="24"/>
          <w:szCs w:val="24"/>
        </w:rPr>
        <w:t>i l</w:t>
      </w:r>
      <w:r w:rsidR="00232571" w:rsidRPr="006F5153">
        <w:rPr>
          <w:rFonts w:cstheme="minorHAnsi"/>
          <w:color w:val="000000" w:themeColor="text1"/>
          <w:sz w:val="24"/>
          <w:szCs w:val="24"/>
        </w:rPr>
        <w:t>e percentuali di laureati entro un anno FC</w:t>
      </w:r>
      <w:r w:rsidR="00232571">
        <w:rPr>
          <w:rFonts w:cstheme="minorHAnsi"/>
          <w:color w:val="000000" w:themeColor="text1"/>
          <w:sz w:val="24"/>
          <w:szCs w:val="24"/>
        </w:rPr>
        <w:t xml:space="preserve">, che hanno </w:t>
      </w:r>
      <w:r w:rsidR="00C909C3">
        <w:rPr>
          <w:rFonts w:cstheme="minorHAnsi"/>
          <w:color w:val="000000" w:themeColor="text1"/>
          <w:sz w:val="24"/>
          <w:szCs w:val="24"/>
        </w:rPr>
        <w:t xml:space="preserve">raggiunto il 90% </w:t>
      </w:r>
      <w:r w:rsidR="00232571">
        <w:rPr>
          <w:rFonts w:cstheme="minorHAnsi"/>
          <w:color w:val="000000" w:themeColor="text1"/>
          <w:sz w:val="24"/>
          <w:szCs w:val="24"/>
        </w:rPr>
        <w:t>nel 201</w:t>
      </w:r>
      <w:r w:rsidR="00C909C3">
        <w:rPr>
          <w:rFonts w:cstheme="minorHAnsi"/>
          <w:color w:val="000000" w:themeColor="text1"/>
          <w:sz w:val="24"/>
          <w:szCs w:val="24"/>
        </w:rPr>
        <w:t>8</w:t>
      </w:r>
      <w:r w:rsidR="00232571">
        <w:rPr>
          <w:rFonts w:cstheme="minorHAnsi"/>
          <w:color w:val="000000" w:themeColor="text1"/>
          <w:sz w:val="24"/>
          <w:szCs w:val="24"/>
        </w:rPr>
        <w:t xml:space="preserve">, </w:t>
      </w:r>
      <w:r w:rsidR="00E70036">
        <w:rPr>
          <w:rFonts w:cstheme="minorHAnsi"/>
          <w:color w:val="000000" w:themeColor="text1"/>
          <w:sz w:val="24"/>
          <w:szCs w:val="24"/>
        </w:rPr>
        <w:t xml:space="preserve">superando </w:t>
      </w:r>
      <w:r w:rsidR="00C909C3">
        <w:rPr>
          <w:rFonts w:cstheme="minorHAnsi"/>
          <w:color w:val="000000" w:themeColor="text1"/>
          <w:sz w:val="24"/>
          <w:szCs w:val="24"/>
        </w:rPr>
        <w:t>addirittura</w:t>
      </w:r>
      <w:r w:rsidR="00E70036">
        <w:rPr>
          <w:rFonts w:cstheme="minorHAnsi"/>
          <w:color w:val="000000" w:themeColor="text1"/>
          <w:sz w:val="24"/>
          <w:szCs w:val="24"/>
        </w:rPr>
        <w:t xml:space="preserve"> </w:t>
      </w:r>
      <w:r w:rsidR="00232571" w:rsidRPr="006F5153">
        <w:rPr>
          <w:rFonts w:cstheme="minorHAnsi"/>
          <w:color w:val="000000" w:themeColor="text1"/>
          <w:sz w:val="24"/>
          <w:szCs w:val="24"/>
        </w:rPr>
        <w:t>la media nazionale</w:t>
      </w:r>
      <w:r w:rsidR="00232571">
        <w:rPr>
          <w:rFonts w:cstheme="minorHAnsi"/>
          <w:color w:val="000000" w:themeColor="text1"/>
          <w:sz w:val="24"/>
          <w:szCs w:val="24"/>
        </w:rPr>
        <w:t xml:space="preserve"> (</w:t>
      </w:r>
      <w:r w:rsidR="00232571" w:rsidRPr="006F5153">
        <w:rPr>
          <w:rFonts w:cstheme="minorHAnsi"/>
          <w:color w:val="000000" w:themeColor="text1"/>
          <w:sz w:val="24"/>
          <w:szCs w:val="24"/>
        </w:rPr>
        <w:t>iC17)</w:t>
      </w:r>
      <w:r w:rsidR="00232571">
        <w:rPr>
          <w:rFonts w:cstheme="minorHAnsi"/>
          <w:color w:val="000000" w:themeColor="text1"/>
          <w:sz w:val="24"/>
          <w:szCs w:val="24"/>
        </w:rPr>
        <w:t xml:space="preserve">. </w:t>
      </w:r>
      <w:r w:rsidR="00726349" w:rsidRPr="00725404">
        <w:rPr>
          <w:rFonts w:cstheme="minorHAnsi"/>
          <w:color w:val="000000" w:themeColor="text1"/>
          <w:sz w:val="24"/>
          <w:szCs w:val="24"/>
        </w:rPr>
        <w:t xml:space="preserve">Il </w:t>
      </w:r>
      <w:r w:rsidR="00530455" w:rsidRPr="00725404">
        <w:rPr>
          <w:rFonts w:cstheme="minorHAnsi"/>
          <w:color w:val="000000" w:themeColor="text1"/>
          <w:sz w:val="24"/>
          <w:szCs w:val="24"/>
        </w:rPr>
        <w:t>tempo</w:t>
      </w:r>
      <w:r w:rsidR="00444D9F" w:rsidRPr="00725404">
        <w:rPr>
          <w:rFonts w:cstheme="minorHAnsi"/>
          <w:color w:val="000000" w:themeColor="text1"/>
          <w:sz w:val="24"/>
          <w:szCs w:val="24"/>
        </w:rPr>
        <w:t xml:space="preserve"> medio</w:t>
      </w:r>
      <w:r w:rsidR="00530455" w:rsidRPr="00725404">
        <w:rPr>
          <w:rFonts w:cstheme="minorHAnsi"/>
          <w:color w:val="000000" w:themeColor="text1"/>
          <w:sz w:val="24"/>
          <w:szCs w:val="24"/>
        </w:rPr>
        <w:t xml:space="preserve"> alla laurea</w:t>
      </w:r>
      <w:r w:rsidR="00530455" w:rsidRPr="006F5153">
        <w:rPr>
          <w:rFonts w:cstheme="minorHAnsi"/>
          <w:color w:val="000000" w:themeColor="text1"/>
          <w:sz w:val="24"/>
          <w:szCs w:val="24"/>
        </w:rPr>
        <w:t xml:space="preserve"> </w:t>
      </w:r>
      <w:r w:rsidR="00090980">
        <w:rPr>
          <w:rFonts w:cstheme="minorHAnsi"/>
          <w:color w:val="000000" w:themeColor="text1"/>
          <w:sz w:val="24"/>
          <w:szCs w:val="24"/>
        </w:rPr>
        <w:t>(</w:t>
      </w:r>
      <w:r w:rsidR="00176CE2" w:rsidRPr="006F5153">
        <w:rPr>
          <w:rFonts w:cstheme="minorHAnsi"/>
          <w:color w:val="000000" w:themeColor="text1"/>
          <w:sz w:val="24"/>
          <w:szCs w:val="24"/>
        </w:rPr>
        <w:t>circa 3 anni</w:t>
      </w:r>
      <w:r w:rsidR="00090980">
        <w:rPr>
          <w:rFonts w:cstheme="minorHAnsi"/>
          <w:color w:val="000000" w:themeColor="text1"/>
          <w:sz w:val="24"/>
          <w:szCs w:val="24"/>
        </w:rPr>
        <w:t xml:space="preserve">) ed il numero di abbandoni dopo N+1 anni </w:t>
      </w:r>
      <w:r w:rsidR="00E74351">
        <w:rPr>
          <w:rFonts w:cstheme="minorHAnsi"/>
          <w:color w:val="000000" w:themeColor="text1"/>
          <w:sz w:val="24"/>
          <w:szCs w:val="24"/>
        </w:rPr>
        <w:t>è pressoché nullo negli ultimi 4 anni</w:t>
      </w:r>
      <w:r w:rsidR="00090980">
        <w:rPr>
          <w:rFonts w:cstheme="minorHAnsi"/>
          <w:color w:val="000000" w:themeColor="text1"/>
          <w:sz w:val="24"/>
          <w:szCs w:val="24"/>
        </w:rPr>
        <w:t xml:space="preserve"> (iC24).</w:t>
      </w:r>
      <w:r w:rsidR="00725404">
        <w:rPr>
          <w:rFonts w:cstheme="minorHAnsi"/>
          <w:color w:val="000000" w:themeColor="text1"/>
          <w:sz w:val="24"/>
          <w:szCs w:val="24"/>
        </w:rPr>
        <w:t xml:space="preserve"> </w:t>
      </w:r>
    </w:p>
    <w:bookmarkEnd w:id="2"/>
    <w:p w14:paraId="500269E6" w14:textId="4412DB67" w:rsidR="008F7632" w:rsidRDefault="008F7632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277DF74" w14:textId="0C7B9641" w:rsidR="00BF3C6B" w:rsidRDefault="00BF3C6B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F3C6B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902F8CF" wp14:editId="564AD4DC">
            <wp:extent cx="6120130" cy="3035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E8A6" w14:textId="353FCF3D" w:rsidR="00A762E3" w:rsidRDefault="006B02FC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B14A2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FBA5F5" wp14:editId="23C6377A">
            <wp:simplePos x="0" y="0"/>
            <wp:positionH relativeFrom="column">
              <wp:posOffset>635</wp:posOffset>
            </wp:positionH>
            <wp:positionV relativeFrom="paragraph">
              <wp:posOffset>380365</wp:posOffset>
            </wp:positionV>
            <wp:extent cx="6072505" cy="125095"/>
            <wp:effectExtent l="0" t="0" r="0" b="825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6"/>
                    <a:stretch/>
                  </pic:blipFill>
                  <pic:spPr bwMode="auto">
                    <a:xfrm>
                      <a:off x="0" y="0"/>
                      <a:ext cx="607250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14A2" w:rsidRPr="002B14A2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3B99615" wp14:editId="1904D7B6">
            <wp:extent cx="6120130" cy="381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9E846" w14:textId="75F4A3D9" w:rsidR="0005764A" w:rsidRDefault="0005764A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0062EB7" w14:textId="27154494" w:rsidR="0005764A" w:rsidRDefault="0005764A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5764A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1769D1C" wp14:editId="05B8EE5E">
            <wp:extent cx="6072505" cy="484515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4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F50C" w14:textId="371E8FDA" w:rsidR="00232571" w:rsidRPr="006F5153" w:rsidRDefault="001B2D17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B2D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EABDC3D" wp14:editId="532EAD19">
            <wp:extent cx="6072505" cy="476906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1"/>
                    <a:stretch/>
                  </pic:blipFill>
                  <pic:spPr bwMode="auto">
                    <a:xfrm>
                      <a:off x="0" y="0"/>
                      <a:ext cx="6072505" cy="4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ADBD0" w14:textId="0AF3F25B" w:rsidR="008F7632" w:rsidRDefault="008F7632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76CA745" w14:textId="77777777" w:rsidR="008D7A39" w:rsidRPr="00581215" w:rsidRDefault="00817618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Soddisfazione e Occupabilità</w:t>
      </w:r>
    </w:p>
    <w:p w14:paraId="39393ABD" w14:textId="77777777" w:rsidR="0019727B" w:rsidRPr="006F5153" w:rsidRDefault="004678D2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Non si ravvisano criticità o discostamenti dalle medie nazionali dall’analisi degli indicatori di questo gruppo. Ottimo il grado di soddisfazione dei laureati per il </w:t>
      </w:r>
      <w:proofErr w:type="spellStart"/>
      <w:r w:rsidRPr="006F5153">
        <w:rPr>
          <w:rFonts w:cstheme="minorHAnsi"/>
          <w:color w:val="000000" w:themeColor="text1"/>
          <w:sz w:val="24"/>
        </w:rPr>
        <w:t>CdS</w:t>
      </w:r>
      <w:proofErr w:type="spellEnd"/>
      <w:r w:rsidRPr="006F5153">
        <w:rPr>
          <w:rFonts w:cstheme="minorHAnsi"/>
          <w:color w:val="000000" w:themeColor="text1"/>
          <w:sz w:val="24"/>
        </w:rPr>
        <w:t xml:space="preserve"> ed elevate le percentuali di coloro che dichiarano di svolgere un’attività lavorativa o di formazione retribuita ad un anno dalla laurea.</w:t>
      </w:r>
    </w:p>
    <w:p w14:paraId="638F2B64" w14:textId="77777777" w:rsidR="0019727B" w:rsidRPr="006F5153" w:rsidRDefault="0019727B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6808727" w14:textId="77777777" w:rsidR="0019727B" w:rsidRPr="00581215" w:rsidRDefault="0019727B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581215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Consistenza e Qualificazione del corpo docente</w:t>
      </w:r>
    </w:p>
    <w:p w14:paraId="6B499064" w14:textId="77777777" w:rsidR="0019727B" w:rsidRPr="006F5153" w:rsidRDefault="00592529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lastRenderedPageBreak/>
        <w:t>Non si ravvisano criticità o discostamenti dalle medie nazionali dall’analisi degli indicatori di questo gruppo.</w:t>
      </w:r>
      <w:r w:rsidR="00994573" w:rsidRPr="006F5153">
        <w:rPr>
          <w:rFonts w:cstheme="minorHAnsi"/>
          <w:color w:val="000000" w:themeColor="text1"/>
          <w:sz w:val="24"/>
        </w:rPr>
        <w:t xml:space="preserve"> Ottima la consistenza e la qualificazione del corpo docente del </w:t>
      </w:r>
      <w:proofErr w:type="spellStart"/>
      <w:r w:rsidR="00994573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994573" w:rsidRPr="006F5153">
        <w:rPr>
          <w:rFonts w:cstheme="minorHAnsi"/>
          <w:color w:val="000000" w:themeColor="text1"/>
          <w:sz w:val="24"/>
        </w:rPr>
        <w:t>.</w:t>
      </w:r>
    </w:p>
    <w:p w14:paraId="00354E1C" w14:textId="77777777" w:rsidR="00E50A14" w:rsidRPr="006F5153" w:rsidRDefault="00E50A1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18022C5D" w14:textId="77777777" w:rsidR="00E50A14" w:rsidRPr="006F5153" w:rsidRDefault="00E50A1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266CBB5D" w14:textId="3263C345" w:rsidR="00E50A14" w:rsidRPr="006F5153" w:rsidRDefault="00E50A1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  <w:r w:rsidRPr="006F5153">
        <w:rPr>
          <w:rFonts w:cstheme="minorHAnsi"/>
          <w:color w:val="000000" w:themeColor="text1"/>
          <w:sz w:val="24"/>
          <w:u w:val="single"/>
        </w:rPr>
        <w:t>Riepilogo scheda di monitoraggio annuale (SMA) LM-54</w:t>
      </w:r>
      <w:r w:rsidR="00DB5F6B" w:rsidRPr="006F5153">
        <w:rPr>
          <w:rFonts w:cstheme="minorHAnsi"/>
          <w:color w:val="000000" w:themeColor="text1"/>
          <w:sz w:val="24"/>
          <w:u w:val="single"/>
        </w:rPr>
        <w:t>-</w:t>
      </w:r>
      <w:r w:rsidR="00557C27">
        <w:rPr>
          <w:rFonts w:cstheme="minorHAnsi"/>
          <w:color w:val="000000" w:themeColor="text1"/>
          <w:sz w:val="24"/>
          <w:u w:val="single"/>
        </w:rPr>
        <w:t>2020</w:t>
      </w:r>
      <w:r w:rsidR="00DB5F6B" w:rsidRPr="006F5153">
        <w:rPr>
          <w:rFonts w:cstheme="minorHAnsi"/>
          <w:color w:val="000000" w:themeColor="text1"/>
          <w:sz w:val="24"/>
          <w:u w:val="single"/>
        </w:rPr>
        <w:t xml:space="preserve"> (commento </w:t>
      </w:r>
      <w:r w:rsidR="00850385" w:rsidRPr="006F5153">
        <w:rPr>
          <w:rFonts w:cstheme="minorHAnsi"/>
          <w:color w:val="000000" w:themeColor="text1"/>
          <w:sz w:val="24"/>
          <w:u w:val="single"/>
        </w:rPr>
        <w:t>da inserire nel</w:t>
      </w:r>
      <w:r w:rsidR="00DB5F6B" w:rsidRPr="006F5153">
        <w:rPr>
          <w:rFonts w:cstheme="minorHAnsi"/>
          <w:color w:val="000000" w:themeColor="text1"/>
          <w:sz w:val="24"/>
          <w:u w:val="single"/>
        </w:rPr>
        <w:t>la scheda SUA)</w:t>
      </w:r>
    </w:p>
    <w:p w14:paraId="345C9CE2" w14:textId="77777777" w:rsidR="00DB5F6B" w:rsidRPr="006F5153" w:rsidRDefault="00DB5F6B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5FFB5BB2" w14:textId="27A10E1F" w:rsidR="00E50A14" w:rsidRPr="006F5153" w:rsidRDefault="00F834BA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L’analisi dei 28 indicatori SMA per il </w:t>
      </w:r>
      <w:proofErr w:type="spellStart"/>
      <w:r>
        <w:rPr>
          <w:rFonts w:cstheme="minorHAnsi"/>
          <w:color w:val="000000" w:themeColor="text1"/>
          <w:sz w:val="24"/>
        </w:rPr>
        <w:t>CdS</w:t>
      </w:r>
      <w:proofErr w:type="spellEnd"/>
      <w:r>
        <w:rPr>
          <w:rFonts w:cstheme="minorHAnsi"/>
          <w:color w:val="000000" w:themeColor="text1"/>
          <w:sz w:val="24"/>
        </w:rPr>
        <w:t xml:space="preserve"> nel </w:t>
      </w:r>
      <w:r w:rsidR="00B125D3">
        <w:rPr>
          <w:rFonts w:cstheme="minorHAnsi"/>
          <w:color w:val="000000" w:themeColor="text1"/>
          <w:sz w:val="24"/>
        </w:rPr>
        <w:t>quinquennio</w:t>
      </w:r>
      <w:r>
        <w:rPr>
          <w:rFonts w:cstheme="minorHAnsi"/>
          <w:color w:val="000000" w:themeColor="text1"/>
          <w:sz w:val="24"/>
        </w:rPr>
        <w:t xml:space="preserve"> 201</w:t>
      </w:r>
      <w:r w:rsidR="00557C27">
        <w:rPr>
          <w:rFonts w:cstheme="minorHAnsi"/>
          <w:color w:val="000000" w:themeColor="text1"/>
          <w:sz w:val="24"/>
        </w:rPr>
        <w:t>5</w:t>
      </w:r>
      <w:r>
        <w:rPr>
          <w:rFonts w:cstheme="minorHAnsi"/>
          <w:color w:val="000000" w:themeColor="text1"/>
          <w:sz w:val="24"/>
        </w:rPr>
        <w:t>-</w:t>
      </w:r>
      <w:r w:rsidR="00B125D3">
        <w:rPr>
          <w:rFonts w:cstheme="minorHAnsi"/>
          <w:color w:val="000000" w:themeColor="text1"/>
          <w:sz w:val="24"/>
        </w:rPr>
        <w:t>201</w:t>
      </w:r>
      <w:r w:rsidR="00FC1D06">
        <w:rPr>
          <w:rFonts w:cstheme="minorHAnsi"/>
          <w:color w:val="000000" w:themeColor="text1"/>
          <w:sz w:val="24"/>
        </w:rPr>
        <w:t>9</w:t>
      </w:r>
      <w:r>
        <w:rPr>
          <w:rFonts w:cstheme="minorHAnsi"/>
          <w:color w:val="000000" w:themeColor="text1"/>
          <w:sz w:val="24"/>
        </w:rPr>
        <w:t xml:space="preserve"> evidenzia un andamento sostanzialmente in linea con </w:t>
      </w:r>
      <w:r w:rsidR="00B125D3">
        <w:rPr>
          <w:rFonts w:cstheme="minorHAnsi"/>
          <w:color w:val="000000" w:themeColor="text1"/>
          <w:sz w:val="24"/>
        </w:rPr>
        <w:t>i dati nazionali e della macroarea</w:t>
      </w:r>
      <w:r w:rsidR="006B2F8F">
        <w:rPr>
          <w:rFonts w:cstheme="minorHAnsi"/>
          <w:color w:val="000000" w:themeColor="text1"/>
          <w:sz w:val="24"/>
        </w:rPr>
        <w:t>,</w:t>
      </w:r>
      <w:r w:rsidR="00B125D3">
        <w:rPr>
          <w:rFonts w:cstheme="minorHAnsi"/>
          <w:color w:val="000000" w:themeColor="text1"/>
          <w:sz w:val="24"/>
        </w:rPr>
        <w:t xml:space="preserve"> con qualche</w:t>
      </w:r>
      <w:r w:rsidR="006B2F8F">
        <w:rPr>
          <w:rFonts w:cstheme="minorHAnsi"/>
          <w:color w:val="000000" w:themeColor="text1"/>
          <w:sz w:val="24"/>
        </w:rPr>
        <w:t xml:space="preserve"> miglioramento</w:t>
      </w:r>
      <w:r w:rsidR="00FC1D06">
        <w:rPr>
          <w:rFonts w:cstheme="minorHAnsi"/>
          <w:color w:val="000000" w:themeColor="text1"/>
          <w:sz w:val="24"/>
        </w:rPr>
        <w:t xml:space="preserve"> rispetto allo scorso AA </w:t>
      </w:r>
      <w:r w:rsidR="006B2F8F">
        <w:rPr>
          <w:rFonts w:cstheme="minorHAnsi"/>
          <w:color w:val="000000" w:themeColor="text1"/>
          <w:sz w:val="24"/>
        </w:rPr>
        <w:t>e qualche</w:t>
      </w:r>
      <w:r w:rsidR="00B125D3">
        <w:rPr>
          <w:rFonts w:cstheme="minorHAnsi"/>
          <w:color w:val="000000" w:themeColor="text1"/>
          <w:sz w:val="24"/>
        </w:rPr>
        <w:t xml:space="preserve"> lieve criticità </w:t>
      </w:r>
      <w:r w:rsidR="006B2F8F">
        <w:rPr>
          <w:rFonts w:cstheme="minorHAnsi"/>
          <w:color w:val="000000" w:themeColor="text1"/>
          <w:sz w:val="24"/>
        </w:rPr>
        <w:t>ancora da risolvere</w:t>
      </w:r>
      <w:r w:rsidR="00FC1D06">
        <w:rPr>
          <w:rFonts w:cstheme="minorHAnsi"/>
          <w:color w:val="000000" w:themeColor="text1"/>
          <w:sz w:val="24"/>
        </w:rPr>
        <w:t>.</w:t>
      </w:r>
      <w:r w:rsidR="006B2F8F">
        <w:rPr>
          <w:rFonts w:cstheme="minorHAnsi"/>
          <w:color w:val="000000" w:themeColor="text1"/>
          <w:sz w:val="24"/>
        </w:rPr>
        <w:t xml:space="preserve"> </w:t>
      </w:r>
      <w:r w:rsidR="00FC1D06">
        <w:rPr>
          <w:rFonts w:cstheme="minorHAnsi"/>
          <w:color w:val="000000" w:themeColor="text1"/>
          <w:sz w:val="24"/>
        </w:rPr>
        <w:t>Q</w:t>
      </w:r>
      <w:r w:rsidR="00B125D3">
        <w:rPr>
          <w:rFonts w:cstheme="minorHAnsi"/>
          <w:color w:val="000000" w:themeColor="text1"/>
          <w:sz w:val="24"/>
        </w:rPr>
        <w:t>ui di seguito</w:t>
      </w:r>
      <w:r w:rsidR="00F63C23">
        <w:rPr>
          <w:rFonts w:cstheme="minorHAnsi"/>
          <w:color w:val="000000" w:themeColor="text1"/>
          <w:sz w:val="24"/>
        </w:rPr>
        <w:t xml:space="preserve"> </w:t>
      </w:r>
      <w:r w:rsidR="00FC1D06">
        <w:rPr>
          <w:rFonts w:cstheme="minorHAnsi"/>
          <w:color w:val="000000" w:themeColor="text1"/>
          <w:sz w:val="24"/>
        </w:rPr>
        <w:t xml:space="preserve">sono </w:t>
      </w:r>
      <w:r w:rsidR="00F63C23">
        <w:rPr>
          <w:rFonts w:cstheme="minorHAnsi"/>
          <w:color w:val="000000" w:themeColor="text1"/>
          <w:sz w:val="24"/>
        </w:rPr>
        <w:t>riassunt</w:t>
      </w:r>
      <w:r w:rsidR="006B2F8F">
        <w:rPr>
          <w:rFonts w:cstheme="minorHAnsi"/>
          <w:color w:val="000000" w:themeColor="text1"/>
          <w:sz w:val="24"/>
        </w:rPr>
        <w:t>i</w:t>
      </w:r>
      <w:r w:rsidR="00FC1D06">
        <w:rPr>
          <w:rFonts w:cstheme="minorHAnsi"/>
          <w:color w:val="000000" w:themeColor="text1"/>
          <w:sz w:val="24"/>
        </w:rPr>
        <w:t xml:space="preserve"> i punti salienti:</w:t>
      </w:r>
    </w:p>
    <w:p w14:paraId="48F9B473" w14:textId="77777777" w:rsidR="00E50A14" w:rsidRPr="006F5153" w:rsidRDefault="00E50A1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E8C7220" w14:textId="5F9F02D0" w:rsidR="00BE2624" w:rsidRDefault="00BE2624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6F5153">
        <w:rPr>
          <w:rFonts w:cstheme="minorHAnsi"/>
          <w:color w:val="000000" w:themeColor="text1"/>
          <w:sz w:val="24"/>
        </w:rPr>
        <w:t xml:space="preserve">1. </w:t>
      </w:r>
      <w:r w:rsidR="006E1B1A" w:rsidRPr="006E1B1A">
        <w:rPr>
          <w:rFonts w:cstheme="minorHAnsi"/>
          <w:b/>
          <w:bCs/>
          <w:color w:val="000000" w:themeColor="text1"/>
          <w:sz w:val="24"/>
          <w:u w:val="single"/>
        </w:rPr>
        <w:t>immatricolazioni</w:t>
      </w:r>
      <w:r w:rsidR="006E1B1A">
        <w:rPr>
          <w:rFonts w:cstheme="minorHAnsi"/>
          <w:color w:val="000000" w:themeColor="text1"/>
          <w:sz w:val="24"/>
        </w:rPr>
        <w:t xml:space="preserve"> ed </w:t>
      </w:r>
      <w:r w:rsidRPr="006F5153">
        <w:rPr>
          <w:rFonts w:cstheme="minorHAnsi"/>
          <w:b/>
          <w:color w:val="000000" w:themeColor="text1"/>
          <w:sz w:val="24"/>
          <w:u w:val="single"/>
        </w:rPr>
        <w:t>attrattività</w:t>
      </w:r>
      <w:r w:rsidRPr="006F5153">
        <w:rPr>
          <w:rFonts w:cstheme="minorHAnsi"/>
          <w:color w:val="000000" w:themeColor="text1"/>
          <w:sz w:val="24"/>
        </w:rPr>
        <w:t xml:space="preserve">: </w:t>
      </w:r>
      <w:r w:rsidR="006E1B1A" w:rsidRPr="006F5153">
        <w:rPr>
          <w:rFonts w:cstheme="minorHAnsi"/>
          <w:color w:val="000000" w:themeColor="text1"/>
          <w:sz w:val="24"/>
        </w:rPr>
        <w:t xml:space="preserve">I dati relativi alle iscrizioni </w:t>
      </w:r>
      <w:r w:rsidR="006E1B1A">
        <w:rPr>
          <w:rFonts w:cstheme="minorHAnsi"/>
          <w:color w:val="000000" w:themeColor="text1"/>
          <w:sz w:val="24"/>
        </w:rPr>
        <w:t>del quinquennio 201</w:t>
      </w:r>
      <w:r w:rsidR="00E7245C">
        <w:rPr>
          <w:rFonts w:cstheme="minorHAnsi"/>
          <w:color w:val="000000" w:themeColor="text1"/>
          <w:sz w:val="24"/>
        </w:rPr>
        <w:t>5</w:t>
      </w:r>
      <w:r w:rsidR="006E1B1A">
        <w:rPr>
          <w:rFonts w:cstheme="minorHAnsi"/>
          <w:color w:val="000000" w:themeColor="text1"/>
          <w:sz w:val="24"/>
        </w:rPr>
        <w:t>-201</w:t>
      </w:r>
      <w:r w:rsidR="00E7245C">
        <w:rPr>
          <w:rFonts w:cstheme="minorHAnsi"/>
          <w:color w:val="000000" w:themeColor="text1"/>
          <w:sz w:val="24"/>
        </w:rPr>
        <w:t>9</w:t>
      </w:r>
      <w:r w:rsidR="006E1B1A" w:rsidRPr="006F5153">
        <w:rPr>
          <w:rFonts w:cstheme="minorHAnsi"/>
          <w:color w:val="000000" w:themeColor="text1"/>
          <w:sz w:val="24"/>
        </w:rPr>
        <w:t xml:space="preserve"> </w:t>
      </w:r>
      <w:r w:rsidR="006E1B1A">
        <w:rPr>
          <w:rFonts w:cstheme="minorHAnsi"/>
          <w:color w:val="000000" w:themeColor="text1"/>
          <w:sz w:val="24"/>
        </w:rPr>
        <w:t xml:space="preserve">alla LM-54 di Bari </w:t>
      </w:r>
      <w:r w:rsidR="006E1B1A" w:rsidRPr="006F5153">
        <w:rPr>
          <w:rFonts w:cstheme="minorHAnsi"/>
          <w:color w:val="000000" w:themeColor="text1"/>
          <w:sz w:val="24"/>
        </w:rPr>
        <w:t>mostrano una progressiva flessione con un minimo che si registra nell’AA 2016-17</w:t>
      </w:r>
      <w:r w:rsidR="006E1B1A">
        <w:rPr>
          <w:rFonts w:cstheme="minorHAnsi"/>
          <w:color w:val="000000" w:themeColor="text1"/>
          <w:sz w:val="24"/>
        </w:rPr>
        <w:t>, con soli</w:t>
      </w:r>
      <w:r w:rsidR="006E1B1A" w:rsidRPr="006F5153">
        <w:rPr>
          <w:rFonts w:cstheme="minorHAnsi"/>
          <w:color w:val="000000" w:themeColor="text1"/>
          <w:sz w:val="24"/>
        </w:rPr>
        <w:t xml:space="preserve"> 13 avvii di carriera.</w:t>
      </w:r>
      <w:r w:rsidR="001A739F">
        <w:rPr>
          <w:rFonts w:cstheme="minorHAnsi"/>
          <w:color w:val="000000" w:themeColor="text1"/>
          <w:sz w:val="24"/>
        </w:rPr>
        <w:t xml:space="preserve"> Per fronteggiare questa criticità, </w:t>
      </w:r>
      <w:r w:rsidR="001A739F" w:rsidRPr="006F5153">
        <w:rPr>
          <w:rFonts w:cstheme="minorHAnsi"/>
          <w:color w:val="000000" w:themeColor="text1"/>
          <w:sz w:val="24"/>
        </w:rPr>
        <w:t xml:space="preserve">il </w:t>
      </w:r>
      <w:proofErr w:type="spellStart"/>
      <w:r w:rsidR="001A739F" w:rsidRPr="006F5153">
        <w:rPr>
          <w:rFonts w:cstheme="minorHAnsi"/>
          <w:color w:val="000000" w:themeColor="text1"/>
          <w:sz w:val="24"/>
        </w:rPr>
        <w:t>CdS</w:t>
      </w:r>
      <w:proofErr w:type="spellEnd"/>
      <w:r w:rsidR="001A739F" w:rsidRPr="006F5153">
        <w:rPr>
          <w:rFonts w:cstheme="minorHAnsi"/>
          <w:color w:val="000000" w:themeColor="text1"/>
          <w:sz w:val="24"/>
        </w:rPr>
        <w:t xml:space="preserve"> ha operato una modifica ordinamentale </w:t>
      </w:r>
      <w:r w:rsidR="001A739F">
        <w:rPr>
          <w:rFonts w:cstheme="minorHAnsi"/>
          <w:color w:val="000000" w:themeColor="text1"/>
          <w:sz w:val="24"/>
        </w:rPr>
        <w:t>nel</w:t>
      </w:r>
      <w:r w:rsidR="001A739F" w:rsidRPr="006F5153">
        <w:rPr>
          <w:rFonts w:cstheme="minorHAnsi"/>
          <w:color w:val="000000" w:themeColor="text1"/>
          <w:sz w:val="24"/>
        </w:rPr>
        <w:t xml:space="preserve">l’AA 2018-19 tesa ad aumentarne l’attrattività (maggiore interazione con il territorio con l’introduzione del tirocinio in azienda e maggiore coinvolgimento delle parti sociali). </w:t>
      </w:r>
      <w:r w:rsidR="001A739F">
        <w:rPr>
          <w:rFonts w:cstheme="minorHAnsi"/>
          <w:color w:val="000000" w:themeColor="text1"/>
          <w:sz w:val="24"/>
        </w:rPr>
        <w:t>La ristrutturazione sembra avere dato i suoi frutti, con l’immediato aumento degli avvii di carriera che nel 2018 ha raggiunto quota 30 unità (in linea con il dato nazionale)</w:t>
      </w:r>
      <w:r w:rsidR="00557C27">
        <w:rPr>
          <w:rFonts w:cstheme="minorHAnsi"/>
          <w:color w:val="000000" w:themeColor="text1"/>
          <w:sz w:val="24"/>
        </w:rPr>
        <w:t xml:space="preserve"> e si è attestato a</w:t>
      </w:r>
      <w:r w:rsidR="008F158A">
        <w:rPr>
          <w:rFonts w:cstheme="minorHAnsi"/>
          <w:color w:val="000000" w:themeColor="text1"/>
          <w:sz w:val="24"/>
        </w:rPr>
        <w:t>ttorno a</w:t>
      </w:r>
      <w:r w:rsidR="00557C27">
        <w:rPr>
          <w:rFonts w:cstheme="minorHAnsi"/>
          <w:color w:val="000000" w:themeColor="text1"/>
          <w:sz w:val="24"/>
        </w:rPr>
        <w:t xml:space="preserve"> </w:t>
      </w:r>
      <w:r w:rsidR="001A739F">
        <w:rPr>
          <w:rFonts w:cstheme="minorHAnsi"/>
          <w:color w:val="000000" w:themeColor="text1"/>
          <w:sz w:val="24"/>
        </w:rPr>
        <w:t>24</w:t>
      </w:r>
      <w:r w:rsidR="008F158A">
        <w:rPr>
          <w:rFonts w:cstheme="minorHAnsi"/>
          <w:color w:val="000000" w:themeColor="text1"/>
          <w:sz w:val="24"/>
        </w:rPr>
        <w:t>/25</w:t>
      </w:r>
      <w:r w:rsidR="001A739F">
        <w:rPr>
          <w:rFonts w:cstheme="minorHAnsi"/>
          <w:color w:val="000000" w:themeColor="text1"/>
          <w:sz w:val="24"/>
        </w:rPr>
        <w:t xml:space="preserve"> </w:t>
      </w:r>
      <w:r w:rsidR="00557C27">
        <w:rPr>
          <w:rFonts w:cstheme="minorHAnsi"/>
          <w:color w:val="000000" w:themeColor="text1"/>
          <w:sz w:val="24"/>
        </w:rPr>
        <w:t>unità nel 2019.</w:t>
      </w:r>
      <w:r w:rsidR="001A739F">
        <w:rPr>
          <w:rFonts w:cstheme="minorHAnsi"/>
          <w:color w:val="000000" w:themeColor="text1"/>
          <w:sz w:val="24"/>
        </w:rPr>
        <w:t xml:space="preserve"> </w:t>
      </w:r>
      <w:r w:rsidR="00B864C5">
        <w:rPr>
          <w:rFonts w:cstheme="minorHAnsi"/>
          <w:color w:val="000000" w:themeColor="text1"/>
          <w:sz w:val="24"/>
        </w:rPr>
        <w:t>L’attrattività verso i laureati fuori regione rimane comunque un problema.</w:t>
      </w:r>
    </w:p>
    <w:p w14:paraId="2A320C05" w14:textId="176ABF48" w:rsidR="006B2F8F" w:rsidRDefault="006B2F8F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538EEB7" w14:textId="10DFC0CC" w:rsidR="006B2F8F" w:rsidRDefault="006B2F8F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</w:rPr>
        <w:t xml:space="preserve">2. </w:t>
      </w:r>
      <w:r w:rsidR="0087352D" w:rsidRPr="0087352D">
        <w:rPr>
          <w:rFonts w:cstheme="minorHAnsi"/>
          <w:b/>
          <w:bCs/>
          <w:color w:val="000000" w:themeColor="text1"/>
          <w:sz w:val="24"/>
          <w:u w:val="single"/>
        </w:rPr>
        <w:t>internazionalizzazione</w:t>
      </w:r>
      <w:r w:rsidR="0087352D">
        <w:rPr>
          <w:rFonts w:cstheme="minorHAnsi"/>
          <w:color w:val="000000" w:themeColor="text1"/>
          <w:sz w:val="24"/>
        </w:rPr>
        <w:t xml:space="preserve">: </w:t>
      </w:r>
      <w:r w:rsidRPr="006F5153">
        <w:rPr>
          <w:rFonts w:cstheme="minorHAnsi"/>
          <w:color w:val="000000" w:themeColor="text1"/>
          <w:sz w:val="24"/>
        </w:rPr>
        <w:t xml:space="preserve">Il potenziamento della mobilità internazionale nella magistrale è stato uno dei punti fermi dell'azione del corso di laurea degli ultimi anni. I dati dell’indicatore iC10 sono confortanti e mostrano nel </w:t>
      </w:r>
      <w:r>
        <w:rPr>
          <w:rFonts w:cstheme="minorHAnsi"/>
          <w:color w:val="000000" w:themeColor="text1"/>
          <w:sz w:val="24"/>
        </w:rPr>
        <w:t>quadriennio</w:t>
      </w:r>
      <w:r w:rsidRPr="006F5153">
        <w:rPr>
          <w:rFonts w:cstheme="minorHAnsi"/>
          <w:color w:val="000000" w:themeColor="text1"/>
          <w:sz w:val="24"/>
        </w:rPr>
        <w:t xml:space="preserve"> in esame 201</w:t>
      </w:r>
      <w:r w:rsidR="00895528">
        <w:rPr>
          <w:rFonts w:cstheme="minorHAnsi"/>
          <w:color w:val="000000" w:themeColor="text1"/>
          <w:sz w:val="24"/>
        </w:rPr>
        <w:t>5</w:t>
      </w:r>
      <w:r w:rsidRPr="006F5153">
        <w:rPr>
          <w:rFonts w:cstheme="minorHAnsi"/>
          <w:color w:val="000000" w:themeColor="text1"/>
          <w:sz w:val="24"/>
        </w:rPr>
        <w:t>-201</w:t>
      </w:r>
      <w:r w:rsidR="00895528">
        <w:rPr>
          <w:rFonts w:cstheme="minorHAnsi"/>
          <w:color w:val="000000" w:themeColor="text1"/>
          <w:sz w:val="24"/>
        </w:rPr>
        <w:t>8</w:t>
      </w:r>
      <w:r w:rsidRPr="006F5153">
        <w:rPr>
          <w:rFonts w:cstheme="minorHAnsi"/>
          <w:color w:val="000000" w:themeColor="text1"/>
          <w:sz w:val="24"/>
        </w:rPr>
        <w:t xml:space="preserve"> un crescente numero di CFU acquisiti all’estero superando anche i valori della media nazionale. Oltre che potenziare la mobilità in uscita, è stata favorita anche quella in entrata. Nell'ultimo </w:t>
      </w:r>
      <w:r>
        <w:rPr>
          <w:rFonts w:cstheme="minorHAnsi"/>
          <w:color w:val="000000" w:themeColor="text1"/>
          <w:sz w:val="24"/>
        </w:rPr>
        <w:t>quadriennio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895528">
        <w:rPr>
          <w:rFonts w:cstheme="minorHAnsi"/>
          <w:color w:val="000000" w:themeColor="text1"/>
          <w:sz w:val="24"/>
        </w:rPr>
        <w:t>è stato registrato</w:t>
      </w:r>
      <w:r w:rsidRPr="006F5153">
        <w:rPr>
          <w:rFonts w:cstheme="minorHAnsi"/>
          <w:color w:val="000000" w:themeColor="text1"/>
          <w:sz w:val="24"/>
        </w:rPr>
        <w:t xml:space="preserve"> </w:t>
      </w:r>
      <w:r w:rsidR="00895528">
        <w:rPr>
          <w:rFonts w:cstheme="minorHAnsi"/>
          <w:color w:val="000000" w:themeColor="text1"/>
          <w:sz w:val="24"/>
        </w:rPr>
        <w:t>un certo numero di</w:t>
      </w:r>
      <w:r w:rsidRPr="006F5153">
        <w:rPr>
          <w:rFonts w:cstheme="minorHAnsi"/>
          <w:color w:val="000000" w:themeColor="text1"/>
          <w:sz w:val="24"/>
        </w:rPr>
        <w:t xml:space="preserve"> “incoming </w:t>
      </w:r>
      <w:proofErr w:type="spellStart"/>
      <w:r w:rsidRPr="006F5153">
        <w:rPr>
          <w:rFonts w:cstheme="minorHAnsi"/>
          <w:color w:val="000000" w:themeColor="text1"/>
          <w:sz w:val="24"/>
        </w:rPr>
        <w:t>students</w:t>
      </w:r>
      <w:proofErr w:type="spellEnd"/>
      <w:r w:rsidRPr="006F5153">
        <w:rPr>
          <w:rFonts w:cstheme="minorHAnsi"/>
          <w:color w:val="000000" w:themeColor="text1"/>
          <w:sz w:val="24"/>
        </w:rPr>
        <w:t>”</w:t>
      </w:r>
      <w:r w:rsidRPr="006F5153">
        <w:rPr>
          <w:rFonts w:ascii="Calibri" w:hAnsi="Calibri" w:cs="Calibri"/>
          <w:color w:val="000000" w:themeColor="text1"/>
          <w:sz w:val="24"/>
        </w:rPr>
        <w:t xml:space="preserve">. </w:t>
      </w:r>
      <w:r w:rsidRPr="006F5153">
        <w:rPr>
          <w:rFonts w:cstheme="minorHAnsi"/>
          <w:color w:val="000000" w:themeColor="text1"/>
          <w:sz w:val="24"/>
        </w:rPr>
        <w:t xml:space="preserve">Inoltre, a partire dall'AA 2016-17, ben 7 corsi della LM-54, dei quali 3 incardinati nel piano di studi, sono fruibili da “incoming Erasmus” in lingua inglese. La spinta sull’Internazionalizzazione è sostenuta anche con la promozione da parte del </w:t>
      </w:r>
      <w:proofErr w:type="spellStart"/>
      <w:r w:rsidRPr="006F5153">
        <w:rPr>
          <w:rFonts w:cstheme="minorHAnsi"/>
          <w:color w:val="000000" w:themeColor="text1"/>
          <w:sz w:val="24"/>
        </w:rPr>
        <w:t>CdS</w:t>
      </w:r>
      <w:proofErr w:type="spellEnd"/>
      <w:r w:rsidRPr="006F5153">
        <w:rPr>
          <w:rFonts w:cstheme="minorHAnsi"/>
          <w:color w:val="000000" w:themeColor="text1"/>
          <w:sz w:val="24"/>
        </w:rPr>
        <w:t xml:space="preserve"> di numerose “Global </w:t>
      </w:r>
      <w:proofErr w:type="spellStart"/>
      <w:r w:rsidRPr="006F5153">
        <w:rPr>
          <w:rFonts w:cstheme="minorHAnsi"/>
          <w:color w:val="000000" w:themeColor="text1"/>
          <w:sz w:val="24"/>
        </w:rPr>
        <w:t>Thesis</w:t>
      </w:r>
      <w:proofErr w:type="spellEnd"/>
      <w:r w:rsidRPr="006F5153">
        <w:rPr>
          <w:rFonts w:cstheme="minorHAnsi"/>
          <w:color w:val="000000" w:themeColor="text1"/>
          <w:sz w:val="24"/>
        </w:rPr>
        <w:t>” (</w:t>
      </w:r>
      <w:r>
        <w:rPr>
          <w:rFonts w:cstheme="minorHAnsi"/>
          <w:color w:val="000000" w:themeColor="text1"/>
          <w:sz w:val="24"/>
        </w:rPr>
        <w:t>5</w:t>
      </w:r>
      <w:r w:rsidRPr="006F5153">
        <w:rPr>
          <w:rFonts w:cstheme="minorHAnsi"/>
          <w:color w:val="000000" w:themeColor="text1"/>
          <w:sz w:val="24"/>
        </w:rPr>
        <w:t xml:space="preserve"> progetti nel </w:t>
      </w:r>
      <w:r>
        <w:rPr>
          <w:rFonts w:cstheme="minorHAnsi"/>
          <w:color w:val="000000" w:themeColor="text1"/>
          <w:sz w:val="24"/>
        </w:rPr>
        <w:t>nell’AA 2018-2019</w:t>
      </w:r>
      <w:r w:rsidRPr="006F5153">
        <w:rPr>
          <w:rFonts w:cstheme="minorHAnsi"/>
          <w:color w:val="000000" w:themeColor="text1"/>
          <w:sz w:val="24"/>
        </w:rPr>
        <w:t xml:space="preserve">). </w:t>
      </w:r>
    </w:p>
    <w:p w14:paraId="1BE849AB" w14:textId="77777777" w:rsidR="006B2F8F" w:rsidRPr="006F5153" w:rsidRDefault="006B2F8F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959B769" w14:textId="491368C7" w:rsidR="00E50A14" w:rsidRPr="00D02649" w:rsidRDefault="004F6F42" w:rsidP="006F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</w:rPr>
        <w:t>3</w:t>
      </w:r>
      <w:r w:rsidR="00D60EA8" w:rsidRPr="006F5153">
        <w:rPr>
          <w:rFonts w:cstheme="minorHAnsi"/>
          <w:color w:val="000000" w:themeColor="text1"/>
          <w:sz w:val="24"/>
        </w:rPr>
        <w:t>.</w:t>
      </w:r>
      <w:r>
        <w:rPr>
          <w:rFonts w:cstheme="minorHAnsi"/>
          <w:color w:val="000000" w:themeColor="text1"/>
          <w:sz w:val="24"/>
        </w:rPr>
        <w:t xml:space="preserve"> </w:t>
      </w:r>
      <w:r w:rsidRPr="004F6F42">
        <w:rPr>
          <w:rFonts w:cstheme="minorHAnsi"/>
          <w:b/>
          <w:bCs/>
          <w:color w:val="000000" w:themeColor="text1"/>
          <w:sz w:val="24"/>
          <w:u w:val="single"/>
        </w:rPr>
        <w:t>regolarità delle carriere e</w:t>
      </w:r>
      <w:r w:rsidR="00D60EA8" w:rsidRPr="006F5153">
        <w:rPr>
          <w:rFonts w:cstheme="minorHAnsi"/>
          <w:color w:val="000000" w:themeColor="text1"/>
          <w:sz w:val="24"/>
        </w:rPr>
        <w:t xml:space="preserve"> </w:t>
      </w:r>
      <w:r w:rsidR="002017F1" w:rsidRPr="006F5153">
        <w:rPr>
          <w:rFonts w:cstheme="minorHAnsi"/>
          <w:b/>
          <w:color w:val="000000" w:themeColor="text1"/>
          <w:sz w:val="24"/>
          <w:u w:val="single"/>
        </w:rPr>
        <w:t>p</w:t>
      </w:r>
      <w:r w:rsidR="00D60EA8" w:rsidRPr="006F5153">
        <w:rPr>
          <w:rFonts w:cstheme="minorHAnsi"/>
          <w:b/>
          <w:color w:val="000000" w:themeColor="text1"/>
          <w:sz w:val="24"/>
          <w:u w:val="single"/>
        </w:rPr>
        <w:t>assaggio tra il 1° ed il 2° anno</w:t>
      </w:r>
      <w:r w:rsidR="00D60EA8" w:rsidRPr="006F5153">
        <w:rPr>
          <w:rFonts w:cstheme="minorHAnsi"/>
          <w:color w:val="000000" w:themeColor="text1"/>
          <w:sz w:val="24"/>
        </w:rPr>
        <w:t xml:space="preserve">: </w:t>
      </w:r>
      <w:r w:rsidR="00C81CCD" w:rsidRPr="00C81CCD">
        <w:rPr>
          <w:rFonts w:cstheme="minorHAnsi"/>
          <w:color w:val="000000" w:themeColor="text1"/>
          <w:sz w:val="24"/>
          <w:szCs w:val="24"/>
        </w:rPr>
        <w:t>Un sensibile miglioramento si osserva a partire dall’anno 2017 nei CFU acquisiti nel passaggio tra il I ed il II anno, in quella che è stata una severa criticità del triennio 2014-2016. Questa tendenza positiva trova conferma nei dati ancora ufficiosi del 201</w:t>
      </w:r>
      <w:r w:rsidR="004245C8">
        <w:rPr>
          <w:rFonts w:cstheme="minorHAnsi"/>
          <w:color w:val="000000" w:themeColor="text1"/>
          <w:sz w:val="24"/>
          <w:szCs w:val="24"/>
        </w:rPr>
        <w:t>9</w:t>
      </w:r>
      <w:r w:rsidR="00C81CCD" w:rsidRPr="00C81CCD">
        <w:rPr>
          <w:rFonts w:cstheme="minorHAnsi"/>
          <w:color w:val="000000" w:themeColor="text1"/>
          <w:sz w:val="24"/>
          <w:szCs w:val="24"/>
        </w:rPr>
        <w:t>.</w:t>
      </w:r>
      <w:r w:rsidR="00A07191">
        <w:rPr>
          <w:rFonts w:cstheme="minorHAnsi"/>
          <w:color w:val="000000" w:themeColor="text1"/>
          <w:sz w:val="24"/>
          <w:szCs w:val="24"/>
        </w:rPr>
        <w:t xml:space="preserve"> Il</w:t>
      </w:r>
      <w:r w:rsidR="00A07191" w:rsidRPr="00A07191">
        <w:rPr>
          <w:rFonts w:cstheme="minorHAnsi"/>
          <w:color w:val="000000" w:themeColor="text1"/>
          <w:sz w:val="24"/>
          <w:szCs w:val="24"/>
        </w:rPr>
        <w:t xml:space="preserve"> numero di laureati in corso </w:t>
      </w:r>
      <w:r w:rsidR="004245C8">
        <w:rPr>
          <w:rFonts w:cstheme="minorHAnsi"/>
          <w:color w:val="000000" w:themeColor="text1"/>
          <w:sz w:val="24"/>
          <w:szCs w:val="24"/>
        </w:rPr>
        <w:t>sembra in crescita</w:t>
      </w:r>
      <w:r w:rsidR="00A07191">
        <w:rPr>
          <w:rFonts w:cstheme="minorHAnsi"/>
          <w:color w:val="000000" w:themeColor="text1"/>
          <w:sz w:val="24"/>
          <w:szCs w:val="24"/>
        </w:rPr>
        <w:t xml:space="preserve"> (ancora </w:t>
      </w:r>
      <w:r w:rsidR="004245C8">
        <w:rPr>
          <w:rFonts w:cstheme="minorHAnsi"/>
          <w:color w:val="000000" w:themeColor="text1"/>
          <w:sz w:val="24"/>
          <w:szCs w:val="24"/>
        </w:rPr>
        <w:t xml:space="preserve">leggermente </w:t>
      </w:r>
      <w:r w:rsidR="00A07191">
        <w:rPr>
          <w:rFonts w:cstheme="minorHAnsi"/>
          <w:color w:val="000000" w:themeColor="text1"/>
          <w:sz w:val="24"/>
          <w:szCs w:val="24"/>
        </w:rPr>
        <w:t>inferiore rispetto alla macroarea), mentre è c</w:t>
      </w:r>
      <w:r w:rsidR="00A07191" w:rsidRPr="00A07191">
        <w:rPr>
          <w:rFonts w:cstheme="minorHAnsi"/>
          <w:color w:val="000000" w:themeColor="text1"/>
          <w:sz w:val="24"/>
          <w:szCs w:val="24"/>
        </w:rPr>
        <w:t>onfortante il dato sulle percentuali di laureati entro un anno FC. Il tempo medio alla laurea (circa 3 anni) ed il numero di abbandoni dopo N+1 anni non destano particolari preoccupazioni</w:t>
      </w:r>
      <w:r w:rsidR="003C05F3">
        <w:rPr>
          <w:rFonts w:cstheme="minorHAnsi"/>
          <w:color w:val="000000" w:themeColor="text1"/>
          <w:sz w:val="24"/>
          <w:szCs w:val="24"/>
        </w:rPr>
        <w:t>.</w:t>
      </w:r>
    </w:p>
    <w:p w14:paraId="61DE09CA" w14:textId="77777777" w:rsidR="00E50A14" w:rsidRPr="000C7877" w:rsidRDefault="00E50A14" w:rsidP="006F5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sectPr w:rsidR="00E50A14" w:rsidRPr="000C7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AB64D" w14:textId="77777777" w:rsidR="00F358A2" w:rsidRDefault="00F358A2" w:rsidP="00450BD2">
      <w:pPr>
        <w:spacing w:after="0" w:line="240" w:lineRule="auto"/>
      </w:pPr>
      <w:r>
        <w:separator/>
      </w:r>
    </w:p>
  </w:endnote>
  <w:endnote w:type="continuationSeparator" w:id="0">
    <w:p w14:paraId="4394FF7B" w14:textId="77777777" w:rsidR="00F358A2" w:rsidRDefault="00F358A2" w:rsidP="0045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B63A5" w14:textId="77777777" w:rsidR="00F358A2" w:rsidRDefault="00F358A2" w:rsidP="00450BD2">
      <w:pPr>
        <w:spacing w:after="0" w:line="240" w:lineRule="auto"/>
      </w:pPr>
      <w:r>
        <w:separator/>
      </w:r>
    </w:p>
  </w:footnote>
  <w:footnote w:type="continuationSeparator" w:id="0">
    <w:p w14:paraId="5F739217" w14:textId="77777777" w:rsidR="00F358A2" w:rsidRDefault="00F358A2" w:rsidP="00450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16"/>
    <w:rsid w:val="00001E83"/>
    <w:rsid w:val="0000331B"/>
    <w:rsid w:val="00005CD6"/>
    <w:rsid w:val="000077C6"/>
    <w:rsid w:val="00021292"/>
    <w:rsid w:val="0003054F"/>
    <w:rsid w:val="00030A2B"/>
    <w:rsid w:val="00034C2C"/>
    <w:rsid w:val="00040742"/>
    <w:rsid w:val="000439B2"/>
    <w:rsid w:val="00056902"/>
    <w:rsid w:val="0005764A"/>
    <w:rsid w:val="0006008A"/>
    <w:rsid w:val="00062030"/>
    <w:rsid w:val="0007201A"/>
    <w:rsid w:val="000829CE"/>
    <w:rsid w:val="00090980"/>
    <w:rsid w:val="000945B3"/>
    <w:rsid w:val="000A2B6E"/>
    <w:rsid w:val="000A334B"/>
    <w:rsid w:val="000A7643"/>
    <w:rsid w:val="000B2B68"/>
    <w:rsid w:val="000C18B2"/>
    <w:rsid w:val="000C19A4"/>
    <w:rsid w:val="000C1C14"/>
    <w:rsid w:val="000C38B2"/>
    <w:rsid w:val="000C7877"/>
    <w:rsid w:val="000D4FC3"/>
    <w:rsid w:val="000E4092"/>
    <w:rsid w:val="00102209"/>
    <w:rsid w:val="00106368"/>
    <w:rsid w:val="001118F0"/>
    <w:rsid w:val="001207A6"/>
    <w:rsid w:val="00123D7B"/>
    <w:rsid w:val="00125125"/>
    <w:rsid w:val="001323CD"/>
    <w:rsid w:val="00147459"/>
    <w:rsid w:val="001625F1"/>
    <w:rsid w:val="00176CE2"/>
    <w:rsid w:val="00183739"/>
    <w:rsid w:val="001851E7"/>
    <w:rsid w:val="0019518F"/>
    <w:rsid w:val="0019727B"/>
    <w:rsid w:val="001A739F"/>
    <w:rsid w:val="001A7EEC"/>
    <w:rsid w:val="001B18B4"/>
    <w:rsid w:val="001B2D17"/>
    <w:rsid w:val="001B3847"/>
    <w:rsid w:val="001C4D87"/>
    <w:rsid w:val="001C6883"/>
    <w:rsid w:val="001D1163"/>
    <w:rsid w:val="001D2D80"/>
    <w:rsid w:val="001D5225"/>
    <w:rsid w:val="001E446F"/>
    <w:rsid w:val="001F1AB9"/>
    <w:rsid w:val="001F4694"/>
    <w:rsid w:val="002017F1"/>
    <w:rsid w:val="00204B99"/>
    <w:rsid w:val="002137A4"/>
    <w:rsid w:val="00232571"/>
    <w:rsid w:val="00236D53"/>
    <w:rsid w:val="00236FA8"/>
    <w:rsid w:val="0024468A"/>
    <w:rsid w:val="002460E4"/>
    <w:rsid w:val="002636D4"/>
    <w:rsid w:val="00270306"/>
    <w:rsid w:val="00270555"/>
    <w:rsid w:val="00276ADB"/>
    <w:rsid w:val="002876BB"/>
    <w:rsid w:val="00291E63"/>
    <w:rsid w:val="002921E9"/>
    <w:rsid w:val="002934EF"/>
    <w:rsid w:val="002A2996"/>
    <w:rsid w:val="002A33C1"/>
    <w:rsid w:val="002B14A2"/>
    <w:rsid w:val="002C2834"/>
    <w:rsid w:val="002D12B0"/>
    <w:rsid w:val="002D40CD"/>
    <w:rsid w:val="002D5A9E"/>
    <w:rsid w:val="002E2053"/>
    <w:rsid w:val="002E28C0"/>
    <w:rsid w:val="0030297F"/>
    <w:rsid w:val="00322FB9"/>
    <w:rsid w:val="00324A80"/>
    <w:rsid w:val="00326DD1"/>
    <w:rsid w:val="00331218"/>
    <w:rsid w:val="00332A94"/>
    <w:rsid w:val="00336FA9"/>
    <w:rsid w:val="00343F05"/>
    <w:rsid w:val="00347456"/>
    <w:rsid w:val="0035009B"/>
    <w:rsid w:val="003502B6"/>
    <w:rsid w:val="00351BE6"/>
    <w:rsid w:val="00354D06"/>
    <w:rsid w:val="00364FE5"/>
    <w:rsid w:val="0039179D"/>
    <w:rsid w:val="00391B64"/>
    <w:rsid w:val="00394AAC"/>
    <w:rsid w:val="003C05F3"/>
    <w:rsid w:val="003D6429"/>
    <w:rsid w:val="003D675D"/>
    <w:rsid w:val="003D7B4A"/>
    <w:rsid w:val="003E3DF7"/>
    <w:rsid w:val="003F01FC"/>
    <w:rsid w:val="003F73A9"/>
    <w:rsid w:val="00401F89"/>
    <w:rsid w:val="00405375"/>
    <w:rsid w:val="004067CE"/>
    <w:rsid w:val="00410D31"/>
    <w:rsid w:val="00422553"/>
    <w:rsid w:val="004245C8"/>
    <w:rsid w:val="0043100B"/>
    <w:rsid w:val="00431370"/>
    <w:rsid w:val="00442B99"/>
    <w:rsid w:val="00444757"/>
    <w:rsid w:val="00444D9F"/>
    <w:rsid w:val="004453EF"/>
    <w:rsid w:val="00445C2A"/>
    <w:rsid w:val="00446555"/>
    <w:rsid w:val="00450BD2"/>
    <w:rsid w:val="00462366"/>
    <w:rsid w:val="00463A45"/>
    <w:rsid w:val="004678D2"/>
    <w:rsid w:val="00472107"/>
    <w:rsid w:val="0048601D"/>
    <w:rsid w:val="00496B6E"/>
    <w:rsid w:val="004A02E3"/>
    <w:rsid w:val="004A7F54"/>
    <w:rsid w:val="004B040A"/>
    <w:rsid w:val="004B2ED4"/>
    <w:rsid w:val="004C31BF"/>
    <w:rsid w:val="004E4474"/>
    <w:rsid w:val="004E6B2B"/>
    <w:rsid w:val="004F61BF"/>
    <w:rsid w:val="004F6F42"/>
    <w:rsid w:val="005104CF"/>
    <w:rsid w:val="00512791"/>
    <w:rsid w:val="005144E1"/>
    <w:rsid w:val="00521D8F"/>
    <w:rsid w:val="00530455"/>
    <w:rsid w:val="00540B31"/>
    <w:rsid w:val="00557C27"/>
    <w:rsid w:val="00560834"/>
    <w:rsid w:val="005758E4"/>
    <w:rsid w:val="00581215"/>
    <w:rsid w:val="00592529"/>
    <w:rsid w:val="00592E9F"/>
    <w:rsid w:val="005A1AD6"/>
    <w:rsid w:val="005A457A"/>
    <w:rsid w:val="005B0C71"/>
    <w:rsid w:val="005F5A38"/>
    <w:rsid w:val="005F5E52"/>
    <w:rsid w:val="00603846"/>
    <w:rsid w:val="0062578C"/>
    <w:rsid w:val="006268A8"/>
    <w:rsid w:val="00627CA7"/>
    <w:rsid w:val="00630D65"/>
    <w:rsid w:val="00630DB7"/>
    <w:rsid w:val="00634AC3"/>
    <w:rsid w:val="00637C28"/>
    <w:rsid w:val="00650A4F"/>
    <w:rsid w:val="006642AD"/>
    <w:rsid w:val="00673DD3"/>
    <w:rsid w:val="006779B2"/>
    <w:rsid w:val="00682297"/>
    <w:rsid w:val="0068722C"/>
    <w:rsid w:val="006A35AD"/>
    <w:rsid w:val="006A6E10"/>
    <w:rsid w:val="006B02FC"/>
    <w:rsid w:val="006B2F8F"/>
    <w:rsid w:val="006B38A8"/>
    <w:rsid w:val="006C59D7"/>
    <w:rsid w:val="006D7ED6"/>
    <w:rsid w:val="006E1B1A"/>
    <w:rsid w:val="006E2AEF"/>
    <w:rsid w:val="006E2CCB"/>
    <w:rsid w:val="006E38D4"/>
    <w:rsid w:val="006F463B"/>
    <w:rsid w:val="006F5153"/>
    <w:rsid w:val="00721B08"/>
    <w:rsid w:val="00725404"/>
    <w:rsid w:val="00726349"/>
    <w:rsid w:val="00733D4D"/>
    <w:rsid w:val="00735A39"/>
    <w:rsid w:val="0074182E"/>
    <w:rsid w:val="00742394"/>
    <w:rsid w:val="007502BF"/>
    <w:rsid w:val="00750801"/>
    <w:rsid w:val="007562E3"/>
    <w:rsid w:val="00756B74"/>
    <w:rsid w:val="007601A9"/>
    <w:rsid w:val="00784E1C"/>
    <w:rsid w:val="00796CA8"/>
    <w:rsid w:val="00797F75"/>
    <w:rsid w:val="007A1884"/>
    <w:rsid w:val="007C339C"/>
    <w:rsid w:val="007C52BD"/>
    <w:rsid w:val="007C5ED5"/>
    <w:rsid w:val="007C7D01"/>
    <w:rsid w:val="007D201B"/>
    <w:rsid w:val="007D5403"/>
    <w:rsid w:val="007D5EB2"/>
    <w:rsid w:val="007E3B43"/>
    <w:rsid w:val="007E5D8D"/>
    <w:rsid w:val="007E6431"/>
    <w:rsid w:val="007F06B3"/>
    <w:rsid w:val="007F0CFB"/>
    <w:rsid w:val="00804044"/>
    <w:rsid w:val="00810F11"/>
    <w:rsid w:val="00817618"/>
    <w:rsid w:val="00822A68"/>
    <w:rsid w:val="008271DB"/>
    <w:rsid w:val="00836E0E"/>
    <w:rsid w:val="00850385"/>
    <w:rsid w:val="008628FE"/>
    <w:rsid w:val="0087352D"/>
    <w:rsid w:val="00874B0E"/>
    <w:rsid w:val="00885763"/>
    <w:rsid w:val="00885F6F"/>
    <w:rsid w:val="00895528"/>
    <w:rsid w:val="008A15DD"/>
    <w:rsid w:val="008A236B"/>
    <w:rsid w:val="008A6155"/>
    <w:rsid w:val="008A6823"/>
    <w:rsid w:val="008B1778"/>
    <w:rsid w:val="008B2755"/>
    <w:rsid w:val="008C2E19"/>
    <w:rsid w:val="008C75C4"/>
    <w:rsid w:val="008D0BD5"/>
    <w:rsid w:val="008D4EBF"/>
    <w:rsid w:val="008D7A39"/>
    <w:rsid w:val="008F158A"/>
    <w:rsid w:val="008F1D42"/>
    <w:rsid w:val="008F3C32"/>
    <w:rsid w:val="008F5828"/>
    <w:rsid w:val="008F7632"/>
    <w:rsid w:val="009027AC"/>
    <w:rsid w:val="00905819"/>
    <w:rsid w:val="00907151"/>
    <w:rsid w:val="0091529A"/>
    <w:rsid w:val="009269DC"/>
    <w:rsid w:val="00927406"/>
    <w:rsid w:val="00931D04"/>
    <w:rsid w:val="0093225C"/>
    <w:rsid w:val="009335F9"/>
    <w:rsid w:val="009336F8"/>
    <w:rsid w:val="00937017"/>
    <w:rsid w:val="009415F3"/>
    <w:rsid w:val="009433D6"/>
    <w:rsid w:val="00946794"/>
    <w:rsid w:val="00950CF8"/>
    <w:rsid w:val="009577BA"/>
    <w:rsid w:val="00962688"/>
    <w:rsid w:val="009660BB"/>
    <w:rsid w:val="00971A48"/>
    <w:rsid w:val="009834EC"/>
    <w:rsid w:val="00985231"/>
    <w:rsid w:val="009915DE"/>
    <w:rsid w:val="00992852"/>
    <w:rsid w:val="0099371C"/>
    <w:rsid w:val="009939B7"/>
    <w:rsid w:val="00994573"/>
    <w:rsid w:val="009A03DF"/>
    <w:rsid w:val="009B54E9"/>
    <w:rsid w:val="009C0365"/>
    <w:rsid w:val="009C1CDD"/>
    <w:rsid w:val="009C6D72"/>
    <w:rsid w:val="009E3408"/>
    <w:rsid w:val="009E6F23"/>
    <w:rsid w:val="009F6C51"/>
    <w:rsid w:val="00A07191"/>
    <w:rsid w:val="00A07F19"/>
    <w:rsid w:val="00A33BB6"/>
    <w:rsid w:val="00A34F77"/>
    <w:rsid w:val="00A45174"/>
    <w:rsid w:val="00A52507"/>
    <w:rsid w:val="00A52A8F"/>
    <w:rsid w:val="00A647EE"/>
    <w:rsid w:val="00A7259D"/>
    <w:rsid w:val="00A75773"/>
    <w:rsid w:val="00A762E3"/>
    <w:rsid w:val="00A85034"/>
    <w:rsid w:val="00A876D6"/>
    <w:rsid w:val="00A9329A"/>
    <w:rsid w:val="00AA0E7A"/>
    <w:rsid w:val="00AA3A55"/>
    <w:rsid w:val="00AA5738"/>
    <w:rsid w:val="00AB5669"/>
    <w:rsid w:val="00AE2494"/>
    <w:rsid w:val="00AE7625"/>
    <w:rsid w:val="00AF65F5"/>
    <w:rsid w:val="00B07AE4"/>
    <w:rsid w:val="00B125D3"/>
    <w:rsid w:val="00B20D12"/>
    <w:rsid w:val="00B22831"/>
    <w:rsid w:val="00B252AA"/>
    <w:rsid w:val="00B334F5"/>
    <w:rsid w:val="00B35959"/>
    <w:rsid w:val="00B4261E"/>
    <w:rsid w:val="00B43002"/>
    <w:rsid w:val="00B43AB8"/>
    <w:rsid w:val="00B4530C"/>
    <w:rsid w:val="00B45C3F"/>
    <w:rsid w:val="00B45FE0"/>
    <w:rsid w:val="00B52EBF"/>
    <w:rsid w:val="00B5424E"/>
    <w:rsid w:val="00B57975"/>
    <w:rsid w:val="00B619E0"/>
    <w:rsid w:val="00B642E0"/>
    <w:rsid w:val="00B7408B"/>
    <w:rsid w:val="00B82C57"/>
    <w:rsid w:val="00B8410E"/>
    <w:rsid w:val="00B864C5"/>
    <w:rsid w:val="00B97BEA"/>
    <w:rsid w:val="00BA28FD"/>
    <w:rsid w:val="00BA549C"/>
    <w:rsid w:val="00BA6F82"/>
    <w:rsid w:val="00BB303A"/>
    <w:rsid w:val="00BB6AD8"/>
    <w:rsid w:val="00BD3468"/>
    <w:rsid w:val="00BD47BE"/>
    <w:rsid w:val="00BE2624"/>
    <w:rsid w:val="00BE7164"/>
    <w:rsid w:val="00BF00F7"/>
    <w:rsid w:val="00BF3C6B"/>
    <w:rsid w:val="00C07A27"/>
    <w:rsid w:val="00C17B21"/>
    <w:rsid w:val="00C35230"/>
    <w:rsid w:val="00C36451"/>
    <w:rsid w:val="00C36EBA"/>
    <w:rsid w:val="00C437DE"/>
    <w:rsid w:val="00C50693"/>
    <w:rsid w:val="00C577D9"/>
    <w:rsid w:val="00C64811"/>
    <w:rsid w:val="00C715F5"/>
    <w:rsid w:val="00C72FD9"/>
    <w:rsid w:val="00C736A4"/>
    <w:rsid w:val="00C81CCD"/>
    <w:rsid w:val="00C8531A"/>
    <w:rsid w:val="00C85EBF"/>
    <w:rsid w:val="00C871D3"/>
    <w:rsid w:val="00C909C3"/>
    <w:rsid w:val="00C91B7D"/>
    <w:rsid w:val="00CB65E2"/>
    <w:rsid w:val="00CC45E4"/>
    <w:rsid w:val="00CC6E16"/>
    <w:rsid w:val="00CD0AFF"/>
    <w:rsid w:val="00CF162A"/>
    <w:rsid w:val="00CF2119"/>
    <w:rsid w:val="00D00976"/>
    <w:rsid w:val="00D02649"/>
    <w:rsid w:val="00D15884"/>
    <w:rsid w:val="00D1655B"/>
    <w:rsid w:val="00D25BED"/>
    <w:rsid w:val="00D25D0D"/>
    <w:rsid w:val="00D307B3"/>
    <w:rsid w:val="00D31BD4"/>
    <w:rsid w:val="00D3668B"/>
    <w:rsid w:val="00D41558"/>
    <w:rsid w:val="00D60A65"/>
    <w:rsid w:val="00D60EA8"/>
    <w:rsid w:val="00D63E13"/>
    <w:rsid w:val="00D85C5A"/>
    <w:rsid w:val="00DA6ABB"/>
    <w:rsid w:val="00DB5F6B"/>
    <w:rsid w:val="00DC53E4"/>
    <w:rsid w:val="00DD125E"/>
    <w:rsid w:val="00DD43BA"/>
    <w:rsid w:val="00E07523"/>
    <w:rsid w:val="00E154D5"/>
    <w:rsid w:val="00E21C67"/>
    <w:rsid w:val="00E23196"/>
    <w:rsid w:val="00E36998"/>
    <w:rsid w:val="00E44E21"/>
    <w:rsid w:val="00E46C34"/>
    <w:rsid w:val="00E50136"/>
    <w:rsid w:val="00E50A14"/>
    <w:rsid w:val="00E54A47"/>
    <w:rsid w:val="00E65568"/>
    <w:rsid w:val="00E65802"/>
    <w:rsid w:val="00E67A0A"/>
    <w:rsid w:val="00E70036"/>
    <w:rsid w:val="00E7030E"/>
    <w:rsid w:val="00E7245C"/>
    <w:rsid w:val="00E73F56"/>
    <w:rsid w:val="00E74351"/>
    <w:rsid w:val="00E85318"/>
    <w:rsid w:val="00E86E7F"/>
    <w:rsid w:val="00EA14D9"/>
    <w:rsid w:val="00EA55E3"/>
    <w:rsid w:val="00EA6499"/>
    <w:rsid w:val="00EC641F"/>
    <w:rsid w:val="00ED33E1"/>
    <w:rsid w:val="00EE26D8"/>
    <w:rsid w:val="00EE2760"/>
    <w:rsid w:val="00EF2AB9"/>
    <w:rsid w:val="00F13BA6"/>
    <w:rsid w:val="00F171D3"/>
    <w:rsid w:val="00F302C7"/>
    <w:rsid w:val="00F31884"/>
    <w:rsid w:val="00F358A2"/>
    <w:rsid w:val="00F51EBD"/>
    <w:rsid w:val="00F61206"/>
    <w:rsid w:val="00F63C23"/>
    <w:rsid w:val="00F74242"/>
    <w:rsid w:val="00F834BA"/>
    <w:rsid w:val="00F8459A"/>
    <w:rsid w:val="00F92E10"/>
    <w:rsid w:val="00FA252A"/>
    <w:rsid w:val="00FB013F"/>
    <w:rsid w:val="00FB0F9F"/>
    <w:rsid w:val="00FB2E8C"/>
    <w:rsid w:val="00FB39FC"/>
    <w:rsid w:val="00FC1D06"/>
    <w:rsid w:val="00FC3D51"/>
    <w:rsid w:val="00FF03E3"/>
    <w:rsid w:val="00FF21E2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93A"/>
  <w15:docId w15:val="{24C001DF-CD49-4866-B141-D43F9062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00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2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0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BD2"/>
  </w:style>
  <w:style w:type="paragraph" w:styleId="Pidipagina">
    <w:name w:val="footer"/>
    <w:basedOn w:val="Normale"/>
    <w:link w:val="PidipaginaCarattere"/>
    <w:uiPriority w:val="99"/>
    <w:unhideWhenUsed/>
    <w:rsid w:val="00450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Nacci</dc:creator>
  <cp:lastModifiedBy>Angelo Nacci</cp:lastModifiedBy>
  <cp:revision>133</cp:revision>
  <dcterms:created xsi:type="dcterms:W3CDTF">2018-11-07T13:50:00Z</dcterms:created>
  <dcterms:modified xsi:type="dcterms:W3CDTF">2020-11-23T12:41:00Z</dcterms:modified>
</cp:coreProperties>
</file>