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D68A" w14:textId="4F3D19C7" w:rsidR="00CC6E16" w:rsidRDefault="00A048C0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Commento alla scheda di</w:t>
      </w:r>
      <w:r w:rsidR="00CC6E16"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monitoraggio annuale</w:t>
      </w:r>
      <w:r w:rsidR="009C136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F2853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D84AC5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2E2053" w:rsidRPr="00512791">
        <w:rPr>
          <w:rFonts w:cstheme="minorHAnsi"/>
          <w:b/>
          <w:bCs/>
          <w:color w:val="000000" w:themeColor="text1"/>
          <w:sz w:val="24"/>
          <w:szCs w:val="24"/>
        </w:rPr>
        <w:t xml:space="preserve"> (SMA)</w:t>
      </w:r>
      <w:r w:rsidR="003622F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22FF">
        <w:rPr>
          <w:rFonts w:cstheme="minorHAnsi"/>
          <w:b/>
          <w:bCs/>
          <w:color w:val="000000" w:themeColor="text1"/>
          <w:sz w:val="24"/>
          <w:szCs w:val="24"/>
        </w:rPr>
        <w:t>CdS</w:t>
      </w:r>
      <w:proofErr w:type="spellEnd"/>
      <w:r w:rsidR="003622FF">
        <w:rPr>
          <w:rFonts w:cstheme="minorHAnsi"/>
          <w:b/>
          <w:bCs/>
          <w:color w:val="000000" w:themeColor="text1"/>
          <w:sz w:val="24"/>
          <w:szCs w:val="24"/>
        </w:rPr>
        <w:t xml:space="preserve"> Chimica Triennale L-27</w:t>
      </w:r>
    </w:p>
    <w:p w14:paraId="067E7EA9" w14:textId="77777777" w:rsidR="00B12230" w:rsidRDefault="00B12230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95BB9B4" w14:textId="40AE3D2C" w:rsidR="003622FF" w:rsidRDefault="00DF3B02" w:rsidP="00B12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622FF">
        <w:rPr>
          <w:rFonts w:cstheme="minorHAnsi"/>
          <w:color w:val="000000" w:themeColor="text1"/>
          <w:sz w:val="24"/>
          <w:szCs w:val="24"/>
        </w:rPr>
        <w:t>Il presente verbale è stato redatto dal</w:t>
      </w:r>
      <w:r w:rsidR="003622FF">
        <w:rPr>
          <w:rFonts w:cstheme="minorHAnsi"/>
          <w:color w:val="000000" w:themeColor="text1"/>
          <w:sz w:val="24"/>
          <w:szCs w:val="24"/>
        </w:rPr>
        <w:t xml:space="preserve"> </w:t>
      </w:r>
      <w:r w:rsidR="00667D6E" w:rsidRPr="00667D6E">
        <w:rPr>
          <w:rFonts w:cstheme="minorHAnsi"/>
          <w:color w:val="000000" w:themeColor="text1"/>
          <w:sz w:val="24"/>
          <w:szCs w:val="24"/>
        </w:rPr>
        <w:t xml:space="preserve">gruppo di assicurazione della qualità (Gruppo </w:t>
      </w:r>
      <w:r w:rsidR="00667D6E" w:rsidRPr="00F33B66">
        <w:rPr>
          <w:rFonts w:cstheme="minorHAnsi"/>
          <w:color w:val="000000" w:themeColor="text1"/>
          <w:sz w:val="24"/>
          <w:szCs w:val="24"/>
        </w:rPr>
        <w:t>AQ)</w:t>
      </w:r>
      <w:r w:rsidRPr="00F33B66">
        <w:rPr>
          <w:rFonts w:cstheme="minorHAnsi"/>
          <w:color w:val="000000" w:themeColor="text1"/>
          <w:sz w:val="24"/>
          <w:szCs w:val="24"/>
        </w:rPr>
        <w:t xml:space="preserve"> riunitosi in </w:t>
      </w:r>
      <w:proofErr w:type="spellStart"/>
      <w:r w:rsidR="003622FF" w:rsidRPr="00B83CE6">
        <w:rPr>
          <w:rFonts w:cstheme="minorHAnsi"/>
          <w:color w:val="000000" w:themeColor="text1"/>
          <w:sz w:val="24"/>
          <w:szCs w:val="24"/>
        </w:rPr>
        <w:t>in</w:t>
      </w:r>
      <w:proofErr w:type="spellEnd"/>
      <w:r w:rsidR="003622FF" w:rsidRPr="00B83CE6">
        <w:rPr>
          <w:rFonts w:cstheme="minorHAnsi"/>
          <w:color w:val="000000" w:themeColor="text1"/>
          <w:sz w:val="24"/>
          <w:szCs w:val="24"/>
        </w:rPr>
        <w:t xml:space="preserve"> </w:t>
      </w:r>
      <w:r w:rsidR="00F14DB6" w:rsidRPr="00B83CE6">
        <w:rPr>
          <w:rFonts w:cstheme="minorHAnsi"/>
          <w:color w:val="000000" w:themeColor="text1"/>
          <w:sz w:val="24"/>
          <w:szCs w:val="24"/>
        </w:rPr>
        <w:t xml:space="preserve">modalità telematica in data </w:t>
      </w:r>
      <w:r w:rsidR="00B83CE6">
        <w:rPr>
          <w:rFonts w:cstheme="minorHAnsi"/>
          <w:color w:val="000000" w:themeColor="text1"/>
          <w:sz w:val="24"/>
          <w:szCs w:val="24"/>
        </w:rPr>
        <w:t>02</w:t>
      </w:r>
      <w:r w:rsidR="00F14DB6" w:rsidRPr="00B83CE6">
        <w:rPr>
          <w:rFonts w:cstheme="minorHAnsi"/>
          <w:color w:val="000000" w:themeColor="text1"/>
          <w:sz w:val="24"/>
          <w:szCs w:val="24"/>
        </w:rPr>
        <w:t>/12/2021</w:t>
      </w:r>
      <w:r w:rsidR="003622FF" w:rsidRPr="00B83CE6">
        <w:rPr>
          <w:rFonts w:cstheme="minorHAnsi"/>
          <w:color w:val="000000" w:themeColor="text1"/>
          <w:sz w:val="24"/>
          <w:szCs w:val="24"/>
        </w:rPr>
        <w:t>.</w:t>
      </w:r>
    </w:p>
    <w:p w14:paraId="776D8F95" w14:textId="77777777" w:rsidR="00B83CE6" w:rsidRDefault="00B83CE6" w:rsidP="00B12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B831AFB" w14:textId="71C038F0" w:rsidR="00DF3B02" w:rsidRPr="003622FF" w:rsidRDefault="003622FF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Il </w:t>
      </w:r>
      <w:r w:rsidR="00667D6E" w:rsidRPr="00667D6E">
        <w:rPr>
          <w:rFonts w:cstheme="minorHAnsi"/>
          <w:color w:val="000000" w:themeColor="text1"/>
          <w:sz w:val="24"/>
          <w:szCs w:val="24"/>
        </w:rPr>
        <w:t>Gruppo AQ</w:t>
      </w:r>
      <w:r>
        <w:rPr>
          <w:rFonts w:cstheme="minorHAnsi"/>
          <w:color w:val="000000" w:themeColor="text1"/>
          <w:sz w:val="24"/>
          <w:szCs w:val="24"/>
        </w:rPr>
        <w:t xml:space="preserve"> è</w:t>
      </w:r>
      <w:r w:rsidR="00DF3B02" w:rsidRPr="003622FF">
        <w:rPr>
          <w:rFonts w:cstheme="minorHAnsi"/>
          <w:color w:val="000000" w:themeColor="text1"/>
          <w:sz w:val="24"/>
          <w:szCs w:val="24"/>
        </w:rPr>
        <w:t xml:space="preserve"> così composto:</w:t>
      </w:r>
    </w:p>
    <w:p w14:paraId="3ACEDA8B" w14:textId="77777777" w:rsidR="00667D6E" w:rsidRDefault="00667D6E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5D6F7AC" w14:textId="68CFC27B" w:rsid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 Angelo Nacci (presidente CISTEC)</w:t>
      </w:r>
    </w:p>
    <w:p w14:paraId="0564E5E5" w14:textId="53B9A216" w:rsidR="00B820B1" w:rsidRPr="00DF3B02" w:rsidRDefault="00B820B1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Prof. Gerardo Palazzo (direttore del dipartimento di Chimica)</w:t>
      </w:r>
    </w:p>
    <w:p w14:paraId="62E857BA" w14:textId="77777777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Sig. Speranza (rappresentante degli studenti)</w:t>
      </w:r>
    </w:p>
    <w:p w14:paraId="067A5709" w14:textId="7BAC0F0D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Prof.ssa </w:t>
      </w:r>
      <w:r w:rsidR="00B820B1">
        <w:rPr>
          <w:rFonts w:cstheme="minorHAnsi"/>
          <w:color w:val="000000" w:themeColor="text1"/>
          <w:sz w:val="24"/>
          <w:szCs w:val="24"/>
        </w:rPr>
        <w:t>Angela Dibenedetto (referente Erasmus)</w:t>
      </w:r>
    </w:p>
    <w:p w14:paraId="1E69AD4B" w14:textId="3532D8D1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</w:t>
      </w:r>
      <w:r w:rsidR="00B820B1">
        <w:rPr>
          <w:rFonts w:cstheme="minorHAnsi"/>
          <w:color w:val="000000" w:themeColor="text1"/>
          <w:sz w:val="24"/>
          <w:szCs w:val="24"/>
        </w:rPr>
        <w:t>Dr.ssa Nicoletta Ditaranto</w:t>
      </w:r>
      <w:r w:rsidRPr="00DF3B02">
        <w:rPr>
          <w:rFonts w:cstheme="minorHAnsi"/>
          <w:color w:val="000000" w:themeColor="text1"/>
          <w:sz w:val="24"/>
          <w:szCs w:val="24"/>
        </w:rPr>
        <w:t xml:space="preserve"> (</w:t>
      </w:r>
      <w:r w:rsidR="00B820B1">
        <w:rPr>
          <w:rFonts w:cstheme="minorHAnsi"/>
          <w:color w:val="000000" w:themeColor="text1"/>
          <w:sz w:val="24"/>
          <w:szCs w:val="24"/>
        </w:rPr>
        <w:t xml:space="preserve">referente </w:t>
      </w:r>
      <w:r w:rsidRPr="00DF3B02">
        <w:rPr>
          <w:rFonts w:cstheme="minorHAnsi"/>
          <w:color w:val="000000" w:themeColor="text1"/>
          <w:sz w:val="24"/>
          <w:szCs w:val="24"/>
        </w:rPr>
        <w:t xml:space="preserve">PLS del </w:t>
      </w:r>
      <w:proofErr w:type="spellStart"/>
      <w:r w:rsidRPr="00DF3B02">
        <w:rPr>
          <w:rFonts w:cstheme="minorHAnsi"/>
          <w:color w:val="000000" w:themeColor="text1"/>
          <w:sz w:val="24"/>
          <w:szCs w:val="24"/>
        </w:rPr>
        <w:t>dip</w:t>
      </w:r>
      <w:proofErr w:type="spellEnd"/>
      <w:r w:rsidRPr="00DF3B02">
        <w:rPr>
          <w:rFonts w:cstheme="minorHAnsi"/>
          <w:color w:val="000000" w:themeColor="text1"/>
          <w:sz w:val="24"/>
          <w:szCs w:val="24"/>
        </w:rPr>
        <w:t>. Chimica)</w:t>
      </w:r>
    </w:p>
    <w:p w14:paraId="5729D27D" w14:textId="0B00E216" w:rsidR="00DF3B02" w:rsidRPr="00DF3B02" w:rsidRDefault="00DF3B02" w:rsidP="00DF3B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F3B02">
        <w:rPr>
          <w:rFonts w:cstheme="minorHAnsi"/>
          <w:color w:val="000000" w:themeColor="text1"/>
          <w:sz w:val="24"/>
          <w:szCs w:val="24"/>
        </w:rPr>
        <w:t xml:space="preserve">  </w:t>
      </w:r>
      <w:r w:rsidR="00B820B1">
        <w:rPr>
          <w:rFonts w:cstheme="minorHAnsi"/>
          <w:color w:val="000000" w:themeColor="text1"/>
          <w:sz w:val="24"/>
          <w:szCs w:val="24"/>
        </w:rPr>
        <w:t xml:space="preserve">Dr.ssa Rosaria Anna Picca (rappresentante </w:t>
      </w:r>
      <w:r w:rsidR="008E5FDA">
        <w:rPr>
          <w:rFonts w:cstheme="minorHAnsi"/>
          <w:color w:val="000000" w:themeColor="text1"/>
          <w:sz w:val="24"/>
          <w:szCs w:val="24"/>
        </w:rPr>
        <w:t xml:space="preserve">docenti </w:t>
      </w:r>
      <w:proofErr w:type="spellStart"/>
      <w:r w:rsidR="00B820B1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8E5FDA">
        <w:rPr>
          <w:rFonts w:cstheme="minorHAnsi"/>
          <w:color w:val="000000" w:themeColor="text1"/>
          <w:sz w:val="24"/>
          <w:szCs w:val="24"/>
        </w:rPr>
        <w:t>)</w:t>
      </w:r>
    </w:p>
    <w:p w14:paraId="703104BE" w14:textId="77777777" w:rsidR="008E5FDA" w:rsidRPr="00512791" w:rsidRDefault="008E5FDA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7A728F8" w14:textId="3B6D3E92" w:rsidR="00CC6E16" w:rsidRPr="00512791" w:rsidRDefault="003622FF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Commento SMA </w:t>
      </w:r>
      <w:r w:rsidR="000132FC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8E5FDA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0132FC">
        <w:rPr>
          <w:rFonts w:cstheme="minorHAnsi"/>
          <w:b/>
          <w:bCs/>
          <w:color w:val="000000" w:themeColor="text1"/>
          <w:sz w:val="24"/>
          <w:szCs w:val="24"/>
        </w:rPr>
        <w:t xml:space="preserve"> - </w:t>
      </w:r>
      <w:r w:rsidR="00CC6E16" w:rsidRPr="00512791">
        <w:rPr>
          <w:rFonts w:cstheme="minorHAnsi"/>
          <w:b/>
          <w:bCs/>
          <w:color w:val="000000" w:themeColor="text1"/>
          <w:sz w:val="24"/>
          <w:szCs w:val="24"/>
        </w:rPr>
        <w:t>L-27 – Chimica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Triennale</w:t>
      </w:r>
    </w:p>
    <w:p w14:paraId="72DB9F90" w14:textId="77777777" w:rsidR="00CC6E16" w:rsidRPr="00512791" w:rsidRDefault="00CC6E16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853F9C" w14:textId="3F0249EC" w:rsidR="00343F05" w:rsidRPr="00512791" w:rsidRDefault="00343F05" w:rsidP="00343F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12791">
        <w:rPr>
          <w:rFonts w:cstheme="minorHAnsi"/>
          <w:color w:val="000000" w:themeColor="text1"/>
          <w:sz w:val="24"/>
          <w:szCs w:val="24"/>
        </w:rPr>
        <w:t xml:space="preserve">Il corso di laurea triennale in Chimica </w:t>
      </w:r>
      <w:r w:rsidR="009269DC" w:rsidRPr="00512791">
        <w:rPr>
          <w:rFonts w:cstheme="minorHAnsi"/>
          <w:color w:val="000000" w:themeColor="text1"/>
          <w:sz w:val="24"/>
          <w:szCs w:val="24"/>
        </w:rPr>
        <w:t>di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 Bari 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è uno dei </w:t>
      </w:r>
      <w:r w:rsidR="009312A5">
        <w:rPr>
          <w:rFonts w:cstheme="minorHAnsi"/>
          <w:color w:val="000000" w:themeColor="text1"/>
          <w:sz w:val="24"/>
          <w:szCs w:val="24"/>
        </w:rPr>
        <w:t>44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33969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633969">
        <w:rPr>
          <w:rFonts w:cstheme="minorHAnsi"/>
          <w:color w:val="000000" w:themeColor="text1"/>
          <w:sz w:val="24"/>
          <w:szCs w:val="24"/>
        </w:rPr>
        <w:t xml:space="preserve"> </w:t>
      </w:r>
      <w:r w:rsidR="009312A5">
        <w:rPr>
          <w:rFonts w:cstheme="minorHAnsi"/>
          <w:color w:val="000000" w:themeColor="text1"/>
          <w:sz w:val="24"/>
          <w:szCs w:val="24"/>
        </w:rPr>
        <w:t>della stessa classe pr</w:t>
      </w:r>
      <w:r w:rsidR="00770854">
        <w:rPr>
          <w:rFonts w:cstheme="minorHAnsi"/>
          <w:color w:val="000000" w:themeColor="text1"/>
          <w:sz w:val="24"/>
          <w:szCs w:val="24"/>
        </w:rPr>
        <w:t>esenti sul territorio nazionale ed</w:t>
      </w:r>
      <w:r w:rsidR="009312A5">
        <w:rPr>
          <w:rFonts w:cstheme="minorHAnsi"/>
          <w:color w:val="000000" w:themeColor="text1"/>
          <w:sz w:val="24"/>
          <w:szCs w:val="24"/>
        </w:rPr>
        <w:t xml:space="preserve"> uno dei 12 </w:t>
      </w:r>
      <w:proofErr w:type="spellStart"/>
      <w:r w:rsidR="009312A5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9312A5">
        <w:rPr>
          <w:rFonts w:cstheme="minorHAnsi"/>
          <w:color w:val="000000" w:themeColor="text1"/>
          <w:sz w:val="24"/>
          <w:szCs w:val="24"/>
        </w:rPr>
        <w:t xml:space="preserve"> </w:t>
      </w:r>
      <w:r w:rsidR="00770854">
        <w:rPr>
          <w:rFonts w:cstheme="minorHAnsi"/>
          <w:color w:val="000000" w:themeColor="text1"/>
          <w:sz w:val="24"/>
          <w:szCs w:val="24"/>
        </w:rPr>
        <w:t>della macroregione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 Sud e isole, l’unico </w:t>
      </w:r>
      <w:r w:rsidR="009312A5">
        <w:rPr>
          <w:rFonts w:cstheme="minorHAnsi"/>
          <w:color w:val="000000" w:themeColor="text1"/>
          <w:sz w:val="24"/>
          <w:szCs w:val="24"/>
        </w:rPr>
        <w:t>presente n</w:t>
      </w:r>
      <w:r w:rsidR="00633969">
        <w:rPr>
          <w:rFonts w:cstheme="minorHAnsi"/>
          <w:color w:val="000000" w:themeColor="text1"/>
          <w:sz w:val="24"/>
          <w:szCs w:val="24"/>
        </w:rPr>
        <w:t>ella regione</w:t>
      </w:r>
      <w:r w:rsidR="00723248">
        <w:rPr>
          <w:rFonts w:cstheme="minorHAnsi"/>
          <w:color w:val="000000" w:themeColor="text1"/>
          <w:sz w:val="24"/>
          <w:szCs w:val="24"/>
        </w:rPr>
        <w:t xml:space="preserve"> Puglia</w:t>
      </w:r>
      <w:r w:rsidR="00633969">
        <w:rPr>
          <w:rFonts w:cstheme="minorHAnsi"/>
          <w:color w:val="000000" w:themeColor="text1"/>
          <w:sz w:val="24"/>
          <w:szCs w:val="24"/>
        </w:rPr>
        <w:t>. N</w:t>
      </w:r>
      <w:r w:rsidR="00633969" w:rsidRPr="00512791">
        <w:rPr>
          <w:rFonts w:cstheme="minorHAnsi"/>
          <w:color w:val="000000" w:themeColor="text1"/>
          <w:sz w:val="24"/>
          <w:szCs w:val="24"/>
        </w:rPr>
        <w:t>ell’AA 2011-12</w:t>
      </w:r>
      <w:r w:rsidR="00633969">
        <w:rPr>
          <w:rFonts w:cstheme="minorHAnsi"/>
          <w:color w:val="000000" w:themeColor="text1"/>
          <w:sz w:val="24"/>
          <w:szCs w:val="24"/>
        </w:rPr>
        <w:t>,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in linea con </w:t>
      </w:r>
      <w:r w:rsidR="00633969">
        <w:rPr>
          <w:rFonts w:cstheme="minorHAnsi"/>
          <w:color w:val="000000" w:themeColor="text1"/>
          <w:sz w:val="24"/>
          <w:szCs w:val="24"/>
        </w:rPr>
        <w:t>l’orientamento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nazionale</w:t>
      </w:r>
      <w:r w:rsidR="00633969">
        <w:rPr>
          <w:rFonts w:cstheme="minorHAnsi"/>
          <w:color w:val="000000" w:themeColor="text1"/>
          <w:sz w:val="24"/>
          <w:szCs w:val="24"/>
        </w:rPr>
        <w:t>,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723248">
        <w:rPr>
          <w:rFonts w:cstheme="minorHAnsi"/>
          <w:color w:val="000000" w:themeColor="text1"/>
          <w:sz w:val="24"/>
          <w:szCs w:val="24"/>
        </w:rPr>
        <w:t xml:space="preserve">il </w:t>
      </w:r>
      <w:proofErr w:type="spellStart"/>
      <w:r w:rsidR="00723248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723248">
        <w:rPr>
          <w:rFonts w:cstheme="minorHAnsi"/>
          <w:color w:val="000000" w:themeColor="text1"/>
          <w:sz w:val="24"/>
          <w:szCs w:val="24"/>
        </w:rPr>
        <w:t xml:space="preserve"> 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ha introdotto il numero programmato </w:t>
      </w:r>
      <w:r w:rsidR="004453EF" w:rsidRPr="00512791">
        <w:rPr>
          <w:rFonts w:cstheme="minorHAnsi"/>
          <w:color w:val="000000" w:themeColor="text1"/>
          <w:sz w:val="24"/>
          <w:szCs w:val="24"/>
        </w:rPr>
        <w:t xml:space="preserve">di </w:t>
      </w:r>
      <w:r w:rsidR="001D13EF">
        <w:rPr>
          <w:rFonts w:cstheme="minorHAnsi"/>
          <w:color w:val="000000" w:themeColor="text1"/>
          <w:sz w:val="24"/>
          <w:szCs w:val="24"/>
        </w:rPr>
        <w:t>55</w:t>
      </w:r>
      <w:r w:rsidR="004453EF" w:rsidRPr="00512791">
        <w:rPr>
          <w:rFonts w:cstheme="minorHAnsi"/>
          <w:color w:val="000000" w:themeColor="text1"/>
          <w:sz w:val="24"/>
          <w:szCs w:val="24"/>
        </w:rPr>
        <w:t xml:space="preserve"> unità</w:t>
      </w:r>
      <w:r w:rsidR="009312A5">
        <w:rPr>
          <w:rFonts w:cstheme="minorHAnsi"/>
          <w:color w:val="000000" w:themeColor="text1"/>
          <w:sz w:val="24"/>
          <w:szCs w:val="24"/>
        </w:rPr>
        <w:t xml:space="preserve">, confermato </w:t>
      </w:r>
      <w:r w:rsidR="00500B31">
        <w:rPr>
          <w:rFonts w:cstheme="minorHAnsi"/>
          <w:color w:val="000000" w:themeColor="text1"/>
          <w:sz w:val="24"/>
          <w:szCs w:val="24"/>
        </w:rPr>
        <w:t xml:space="preserve">poi </w:t>
      </w:r>
      <w:r w:rsidR="009312A5">
        <w:rPr>
          <w:rFonts w:cstheme="minorHAnsi"/>
          <w:color w:val="000000" w:themeColor="text1"/>
          <w:sz w:val="24"/>
          <w:szCs w:val="24"/>
        </w:rPr>
        <w:t>nell’anno successivo (2012/13) ed elevato a 75 unità a partire dall’AA 2013/14.</w:t>
      </w:r>
      <w:r w:rsidR="002F6B5C">
        <w:rPr>
          <w:rFonts w:cstheme="minorHAnsi"/>
          <w:color w:val="000000" w:themeColor="text1"/>
          <w:sz w:val="24"/>
          <w:szCs w:val="24"/>
        </w:rPr>
        <w:t xml:space="preserve"> </w:t>
      </w:r>
      <w:r w:rsidR="00A048C0">
        <w:rPr>
          <w:rFonts w:cstheme="minorHAnsi"/>
          <w:color w:val="000000" w:themeColor="text1"/>
          <w:sz w:val="24"/>
          <w:szCs w:val="24"/>
        </w:rPr>
        <w:t>Il numero programmato è</w:t>
      </w:r>
      <w:r w:rsidR="00742E13">
        <w:rPr>
          <w:rFonts w:cstheme="minorHAnsi"/>
          <w:color w:val="000000" w:themeColor="text1"/>
          <w:sz w:val="24"/>
          <w:szCs w:val="24"/>
        </w:rPr>
        <w:t xml:space="preserve"> </w:t>
      </w:r>
      <w:r w:rsidR="008B351E">
        <w:rPr>
          <w:rFonts w:cstheme="minorHAnsi"/>
          <w:color w:val="000000" w:themeColor="text1"/>
          <w:sz w:val="24"/>
          <w:szCs w:val="24"/>
        </w:rPr>
        <w:t xml:space="preserve">stato </w:t>
      </w:r>
      <w:r w:rsidR="005E094D">
        <w:rPr>
          <w:rFonts w:cstheme="minorHAnsi"/>
          <w:color w:val="000000" w:themeColor="text1"/>
          <w:sz w:val="24"/>
          <w:szCs w:val="24"/>
        </w:rPr>
        <w:t>generalmente</w:t>
      </w:r>
      <w:r w:rsidR="00742E13">
        <w:rPr>
          <w:rFonts w:cstheme="minorHAnsi"/>
          <w:color w:val="000000" w:themeColor="text1"/>
          <w:sz w:val="24"/>
          <w:szCs w:val="24"/>
        </w:rPr>
        <w:t xml:space="preserve"> raggiunt</w:t>
      </w:r>
      <w:r w:rsidR="00A048C0">
        <w:rPr>
          <w:rFonts w:cstheme="minorHAnsi"/>
          <w:color w:val="000000" w:themeColor="text1"/>
          <w:sz w:val="24"/>
          <w:szCs w:val="24"/>
        </w:rPr>
        <w:t>o</w:t>
      </w:r>
      <w:r w:rsidR="00A913DF">
        <w:rPr>
          <w:rFonts w:cstheme="minorHAnsi"/>
          <w:color w:val="000000" w:themeColor="text1"/>
          <w:sz w:val="24"/>
          <w:szCs w:val="24"/>
        </w:rPr>
        <w:t xml:space="preserve">, in particolare </w:t>
      </w:r>
      <w:r w:rsidR="007465F0">
        <w:rPr>
          <w:rFonts w:cstheme="minorHAnsi"/>
          <w:color w:val="000000" w:themeColor="text1"/>
          <w:sz w:val="24"/>
          <w:szCs w:val="24"/>
        </w:rPr>
        <w:t>nel</w:t>
      </w:r>
      <w:r w:rsidR="00633969">
        <w:rPr>
          <w:rFonts w:cstheme="minorHAnsi"/>
          <w:color w:val="000000" w:themeColor="text1"/>
          <w:sz w:val="24"/>
          <w:szCs w:val="24"/>
        </w:rPr>
        <w:t xml:space="preserve"> </w:t>
      </w:r>
      <w:r w:rsidR="00172FDB">
        <w:rPr>
          <w:rFonts w:cstheme="minorHAnsi"/>
          <w:color w:val="000000" w:themeColor="text1"/>
          <w:sz w:val="24"/>
          <w:szCs w:val="24"/>
        </w:rPr>
        <w:t>2017</w:t>
      </w:r>
      <w:r w:rsidR="003B707F">
        <w:rPr>
          <w:rFonts w:cstheme="minorHAnsi"/>
          <w:color w:val="000000" w:themeColor="text1"/>
          <w:sz w:val="24"/>
          <w:szCs w:val="24"/>
        </w:rPr>
        <w:t>,</w:t>
      </w:r>
      <w:r w:rsidR="00633969"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="00633969">
        <w:rPr>
          <w:rFonts w:cstheme="minorHAnsi"/>
          <w:color w:val="000000" w:themeColor="text1"/>
          <w:sz w:val="24"/>
          <w:szCs w:val="24"/>
        </w:rPr>
        <w:t>come dimostra</w:t>
      </w:r>
      <w:r w:rsidR="007465F0">
        <w:rPr>
          <w:rFonts w:cstheme="minorHAnsi"/>
          <w:color w:val="000000" w:themeColor="text1"/>
          <w:sz w:val="24"/>
          <w:szCs w:val="24"/>
        </w:rPr>
        <w:t xml:space="preserve"> </w:t>
      </w:r>
      <w:r w:rsidR="00B65E8A">
        <w:rPr>
          <w:rFonts w:cstheme="minorHAnsi"/>
          <w:color w:val="000000" w:themeColor="text1"/>
          <w:sz w:val="24"/>
          <w:szCs w:val="24"/>
        </w:rPr>
        <w:t>l’</w:t>
      </w:r>
      <w:r w:rsidR="007465F0">
        <w:rPr>
          <w:rFonts w:cstheme="minorHAnsi"/>
          <w:color w:val="000000" w:themeColor="text1"/>
          <w:sz w:val="24"/>
          <w:szCs w:val="24"/>
        </w:rPr>
        <w:t>indicator</w:t>
      </w:r>
      <w:r w:rsidR="00B65E8A">
        <w:rPr>
          <w:rFonts w:cstheme="minorHAnsi"/>
          <w:color w:val="000000" w:themeColor="text1"/>
          <w:sz w:val="24"/>
          <w:szCs w:val="24"/>
        </w:rPr>
        <w:t>e</w:t>
      </w:r>
      <w:r w:rsidR="007465F0">
        <w:rPr>
          <w:rFonts w:cstheme="minorHAnsi"/>
          <w:color w:val="000000" w:themeColor="text1"/>
          <w:sz w:val="24"/>
          <w:szCs w:val="24"/>
        </w:rPr>
        <w:t xml:space="preserve"> </w:t>
      </w:r>
      <w:r w:rsidR="005E094D">
        <w:rPr>
          <w:rFonts w:cstheme="minorHAnsi"/>
          <w:color w:val="000000" w:themeColor="text1"/>
          <w:sz w:val="24"/>
          <w:szCs w:val="24"/>
        </w:rPr>
        <w:t>iC00b,</w:t>
      </w:r>
      <w:r w:rsidR="00A048C0">
        <w:rPr>
          <w:rFonts w:cstheme="minorHAnsi"/>
          <w:color w:val="000000" w:themeColor="text1"/>
          <w:sz w:val="24"/>
          <w:szCs w:val="24"/>
        </w:rPr>
        <w:t xml:space="preserve"> </w:t>
      </w:r>
      <w:r w:rsidR="007465F0">
        <w:rPr>
          <w:rFonts w:cstheme="minorHAnsi"/>
          <w:color w:val="000000" w:themeColor="text1"/>
          <w:sz w:val="24"/>
          <w:szCs w:val="24"/>
        </w:rPr>
        <w:t>relativ</w:t>
      </w:r>
      <w:r w:rsidR="00B65E8A">
        <w:rPr>
          <w:rFonts w:cstheme="minorHAnsi"/>
          <w:color w:val="000000" w:themeColor="text1"/>
          <w:sz w:val="24"/>
          <w:szCs w:val="24"/>
        </w:rPr>
        <w:t>o</w:t>
      </w:r>
      <w:r w:rsidR="003B707F">
        <w:rPr>
          <w:rFonts w:cstheme="minorHAnsi"/>
          <w:color w:val="000000" w:themeColor="text1"/>
          <w:sz w:val="24"/>
          <w:szCs w:val="24"/>
        </w:rPr>
        <w:t xml:space="preserve"> al</w:t>
      </w:r>
      <w:r w:rsidR="003B707F" w:rsidRPr="00512791">
        <w:rPr>
          <w:rFonts w:cstheme="minorHAnsi"/>
          <w:color w:val="000000" w:themeColor="text1"/>
          <w:sz w:val="24"/>
          <w:szCs w:val="24"/>
        </w:rPr>
        <w:t xml:space="preserve"> numero di </w:t>
      </w:r>
      <w:r w:rsidR="003B707F">
        <w:rPr>
          <w:rFonts w:cstheme="minorHAnsi"/>
          <w:color w:val="000000" w:themeColor="text1"/>
          <w:sz w:val="24"/>
          <w:szCs w:val="24"/>
        </w:rPr>
        <w:t>immatricolati puri</w:t>
      </w:r>
      <w:r w:rsidR="00EC3962">
        <w:rPr>
          <w:rFonts w:cstheme="minorHAnsi"/>
          <w:color w:val="000000" w:themeColor="text1"/>
          <w:sz w:val="24"/>
          <w:szCs w:val="24"/>
        </w:rPr>
        <w:t>, riportato in tabella.</w:t>
      </w:r>
      <w:r w:rsidR="008E7FD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75428F7" w14:textId="77777777" w:rsidR="00EC3962" w:rsidRDefault="00EC3962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E094D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24A341FD" wp14:editId="2627404F">
            <wp:extent cx="3744000" cy="45075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4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94D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BB1729F" wp14:editId="38D94E8F">
            <wp:extent cx="3744000" cy="72672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72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C630" w14:textId="2C2327AE" w:rsidR="00442C77" w:rsidRDefault="00FA5B64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 partire dall’AA 201</w:t>
      </w:r>
      <w:r w:rsidR="00566C27">
        <w:rPr>
          <w:rFonts w:cstheme="minorHAnsi"/>
          <w:color w:val="000000" w:themeColor="text1"/>
          <w:sz w:val="24"/>
          <w:szCs w:val="24"/>
        </w:rPr>
        <w:t>8</w:t>
      </w:r>
      <w:r>
        <w:rPr>
          <w:rFonts w:cstheme="minorHAnsi"/>
          <w:color w:val="000000" w:themeColor="text1"/>
          <w:sz w:val="24"/>
          <w:szCs w:val="24"/>
        </w:rPr>
        <w:t>-201</w:t>
      </w:r>
      <w:r w:rsidR="00566C27">
        <w:rPr>
          <w:rFonts w:cstheme="minorHAnsi"/>
          <w:color w:val="000000" w:themeColor="text1"/>
          <w:sz w:val="24"/>
          <w:szCs w:val="24"/>
        </w:rPr>
        <w:t>9</w:t>
      </w:r>
      <w:r>
        <w:rPr>
          <w:rFonts w:cstheme="minorHAnsi"/>
          <w:color w:val="000000" w:themeColor="text1"/>
          <w:sz w:val="24"/>
          <w:szCs w:val="24"/>
        </w:rPr>
        <w:t xml:space="preserve">, il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ha deciso di elevare il numero programmato a 100 unità</w:t>
      </w:r>
      <w:r w:rsidR="005E094D" w:rsidRPr="005E094D">
        <w:rPr>
          <w:rFonts w:cstheme="minorHAnsi"/>
          <w:color w:val="000000" w:themeColor="text1"/>
          <w:sz w:val="24"/>
          <w:szCs w:val="24"/>
        </w:rPr>
        <w:t xml:space="preserve"> </w:t>
      </w:r>
      <w:r w:rsidR="005E094D">
        <w:rPr>
          <w:rFonts w:cstheme="minorHAnsi"/>
          <w:color w:val="000000" w:themeColor="text1"/>
          <w:sz w:val="24"/>
          <w:szCs w:val="24"/>
        </w:rPr>
        <w:t>seguendo le indicazioni ministeriali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9D5211">
        <w:rPr>
          <w:rFonts w:cstheme="minorHAnsi"/>
          <w:color w:val="000000" w:themeColor="text1"/>
          <w:sz w:val="24"/>
          <w:szCs w:val="24"/>
        </w:rPr>
        <w:t>e</w:t>
      </w:r>
      <w:r w:rsidR="005E094D">
        <w:rPr>
          <w:rFonts w:cstheme="minorHAnsi"/>
          <w:color w:val="000000" w:themeColor="text1"/>
          <w:sz w:val="24"/>
          <w:szCs w:val="24"/>
        </w:rPr>
        <w:t xml:space="preserve"> ha </w:t>
      </w:r>
      <w:r>
        <w:rPr>
          <w:rFonts w:cstheme="minorHAnsi"/>
          <w:color w:val="000000" w:themeColor="text1"/>
          <w:sz w:val="24"/>
          <w:szCs w:val="24"/>
        </w:rPr>
        <w:t>adotta</w:t>
      </w:r>
      <w:r w:rsidR="005E094D">
        <w:rPr>
          <w:rFonts w:cstheme="minorHAnsi"/>
          <w:color w:val="000000" w:themeColor="text1"/>
          <w:sz w:val="24"/>
          <w:szCs w:val="24"/>
        </w:rPr>
        <w:t>to</w:t>
      </w:r>
      <w:r>
        <w:rPr>
          <w:rFonts w:cstheme="minorHAnsi"/>
          <w:color w:val="000000" w:themeColor="text1"/>
          <w:sz w:val="24"/>
          <w:szCs w:val="24"/>
        </w:rPr>
        <w:t xml:space="preserve"> un test di ingresso unico</w:t>
      </w:r>
      <w:r w:rsidR="00137839">
        <w:rPr>
          <w:rFonts w:cstheme="minorHAnsi"/>
          <w:color w:val="000000" w:themeColor="text1"/>
          <w:sz w:val="24"/>
          <w:szCs w:val="24"/>
        </w:rPr>
        <w:t xml:space="preserve"> solo per la laurea in Chimica.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C70DF">
        <w:rPr>
          <w:rFonts w:cstheme="minorHAnsi"/>
          <w:color w:val="000000" w:themeColor="text1"/>
          <w:sz w:val="24"/>
          <w:szCs w:val="24"/>
        </w:rPr>
        <w:t xml:space="preserve">Nel triennio 2017-2019 gli indicatori SMA </w:t>
      </w:r>
      <w:r w:rsidR="008E7FDD">
        <w:rPr>
          <w:rFonts w:cstheme="minorHAnsi"/>
          <w:color w:val="000000" w:themeColor="text1"/>
          <w:sz w:val="24"/>
          <w:szCs w:val="24"/>
        </w:rPr>
        <w:t xml:space="preserve">(iC00a-h) </w:t>
      </w:r>
      <w:r w:rsidR="007C70DF">
        <w:rPr>
          <w:rFonts w:cstheme="minorHAnsi"/>
          <w:color w:val="000000" w:themeColor="text1"/>
          <w:sz w:val="24"/>
          <w:szCs w:val="24"/>
        </w:rPr>
        <w:t>relativi a</w:t>
      </w:r>
      <w:r w:rsidR="008E7FDD">
        <w:rPr>
          <w:rFonts w:cstheme="minorHAnsi"/>
          <w:color w:val="000000" w:themeColor="text1"/>
          <w:sz w:val="24"/>
          <w:szCs w:val="24"/>
        </w:rPr>
        <w:t xml:space="preserve"> immatricolati, iscritti e quelli totali</w:t>
      </w:r>
      <w:r w:rsidR="007C70DF">
        <w:rPr>
          <w:rFonts w:cstheme="minorHAnsi"/>
          <w:color w:val="000000" w:themeColor="text1"/>
          <w:sz w:val="24"/>
          <w:szCs w:val="24"/>
        </w:rPr>
        <w:t xml:space="preserve"> </w:t>
      </w:r>
      <w:r w:rsidR="00475A85">
        <w:rPr>
          <w:rFonts w:cstheme="minorHAnsi"/>
          <w:color w:val="000000" w:themeColor="text1"/>
          <w:sz w:val="24"/>
          <w:szCs w:val="24"/>
        </w:rPr>
        <w:t xml:space="preserve">della L-27 a Bari </w:t>
      </w:r>
      <w:r w:rsidR="008E7FDD">
        <w:rPr>
          <w:rFonts w:cstheme="minorHAnsi"/>
          <w:color w:val="000000" w:themeColor="text1"/>
          <w:sz w:val="24"/>
          <w:szCs w:val="24"/>
        </w:rPr>
        <w:t>presentano in genere valori superiori ai dati associati all’area geografica di riferimento e pressoché in linea con quelli nazionali</w:t>
      </w:r>
      <w:r w:rsidR="00E429BD">
        <w:rPr>
          <w:rFonts w:cstheme="minorHAnsi"/>
          <w:color w:val="000000" w:themeColor="text1"/>
          <w:sz w:val="24"/>
          <w:szCs w:val="24"/>
        </w:rPr>
        <w:t xml:space="preserve">. </w:t>
      </w:r>
      <w:r w:rsidR="00EC3962">
        <w:rPr>
          <w:rFonts w:cstheme="minorHAnsi"/>
          <w:color w:val="000000" w:themeColor="text1"/>
          <w:sz w:val="24"/>
          <w:szCs w:val="24"/>
        </w:rPr>
        <w:t>Questo andamento si ritrova anche per i dati relativi all’AA 2020-2021 per alcuni indicatori SMA (iC00d, iC00e, iC00f</w:t>
      </w:r>
      <w:r w:rsidR="00442C77">
        <w:rPr>
          <w:rFonts w:cstheme="minorHAnsi"/>
          <w:color w:val="000000" w:themeColor="text1"/>
          <w:sz w:val="24"/>
          <w:szCs w:val="24"/>
        </w:rPr>
        <w:t>) riferiti agli iscritti come sotto presentato.</w:t>
      </w:r>
    </w:p>
    <w:p w14:paraId="0249FAF7" w14:textId="34331327" w:rsidR="00442C77" w:rsidRDefault="00442C77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E094D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6E701A2C" wp14:editId="5DA8EA58">
            <wp:extent cx="3744000" cy="450752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4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8933" w14:textId="2CC6E396" w:rsidR="00442C77" w:rsidRDefault="00442C77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42C77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6EF2212" wp14:editId="0DF1E785">
            <wp:extent cx="3743308" cy="14954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48"/>
                    <a:stretch/>
                  </pic:blipFill>
                  <pic:spPr bwMode="auto">
                    <a:xfrm>
                      <a:off x="0" y="0"/>
                      <a:ext cx="3744000" cy="14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D7941" w14:textId="61A98C9A" w:rsidR="00FA5B64" w:rsidRDefault="00E429BD" w:rsidP="00FA5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Tuttavia,</w:t>
      </w:r>
      <w:r w:rsidR="00EC3962">
        <w:rPr>
          <w:rFonts w:cstheme="minorHAnsi"/>
          <w:color w:val="000000" w:themeColor="text1"/>
          <w:sz w:val="24"/>
          <w:szCs w:val="24"/>
        </w:rPr>
        <w:t xml:space="preserve"> </w:t>
      </w:r>
      <w:r w:rsidR="00442C77">
        <w:rPr>
          <w:rFonts w:cstheme="minorHAnsi"/>
          <w:color w:val="000000" w:themeColor="text1"/>
          <w:sz w:val="24"/>
          <w:szCs w:val="24"/>
        </w:rPr>
        <w:t>altri indicatori ad esempio relativi agli immatricolati puri (iC00b) ed ai laureati (iC00g, iC00h)</w:t>
      </w:r>
      <w:r w:rsidR="00EC3962">
        <w:rPr>
          <w:rFonts w:cstheme="minorHAnsi"/>
          <w:color w:val="000000" w:themeColor="text1"/>
          <w:sz w:val="24"/>
          <w:szCs w:val="24"/>
        </w:rPr>
        <w:t xml:space="preserve"> </w:t>
      </w:r>
      <w:r w:rsidR="00442C77">
        <w:rPr>
          <w:rFonts w:cstheme="minorHAnsi"/>
          <w:color w:val="000000" w:themeColor="text1"/>
          <w:sz w:val="24"/>
          <w:szCs w:val="24"/>
        </w:rPr>
        <w:t>subiscono</w:t>
      </w:r>
      <w:r w:rsidR="00EC3962">
        <w:rPr>
          <w:rFonts w:cstheme="minorHAnsi"/>
          <w:color w:val="000000" w:themeColor="text1"/>
          <w:sz w:val="24"/>
          <w:szCs w:val="24"/>
        </w:rPr>
        <w:t xml:space="preserve"> un</w:t>
      </w:r>
      <w:r w:rsidR="00442C77">
        <w:rPr>
          <w:rFonts w:cstheme="minorHAnsi"/>
          <w:color w:val="000000" w:themeColor="text1"/>
          <w:sz w:val="24"/>
          <w:szCs w:val="24"/>
        </w:rPr>
        <w:t>a battuta d’arresto legata essenzialmente alla situazione pandemica in atto.</w:t>
      </w:r>
      <w:r w:rsidR="00EC3962">
        <w:rPr>
          <w:rFonts w:cstheme="minorHAnsi"/>
          <w:color w:val="000000" w:themeColor="text1"/>
          <w:sz w:val="24"/>
          <w:szCs w:val="24"/>
        </w:rPr>
        <w:t xml:space="preserve"> </w:t>
      </w:r>
      <w:r w:rsidR="0054041C">
        <w:rPr>
          <w:rFonts w:cstheme="minorHAnsi"/>
          <w:color w:val="000000" w:themeColor="text1"/>
          <w:sz w:val="24"/>
          <w:szCs w:val="24"/>
        </w:rPr>
        <w:t xml:space="preserve">In </w:t>
      </w:r>
      <w:r w:rsidR="0054041C">
        <w:rPr>
          <w:rFonts w:cstheme="minorHAnsi"/>
          <w:color w:val="000000" w:themeColor="text1"/>
          <w:sz w:val="24"/>
          <w:szCs w:val="24"/>
        </w:rPr>
        <w:lastRenderedPageBreak/>
        <w:t>ogni caso, per incentivare ulteriormente l’immatricolazione, n</w:t>
      </w:r>
      <w:r w:rsidR="0054041C" w:rsidRPr="0054041C">
        <w:rPr>
          <w:rFonts w:cstheme="minorHAnsi"/>
          <w:color w:val="000000" w:themeColor="text1"/>
          <w:sz w:val="24"/>
          <w:szCs w:val="24"/>
        </w:rPr>
        <w:t xml:space="preserve">ell'AA 2021-2022 </w:t>
      </w:r>
      <w:r w:rsidR="0054041C">
        <w:rPr>
          <w:rFonts w:cstheme="minorHAnsi"/>
          <w:color w:val="000000" w:themeColor="text1"/>
          <w:sz w:val="24"/>
          <w:szCs w:val="24"/>
        </w:rPr>
        <w:t>è stato eliminato il</w:t>
      </w:r>
      <w:r w:rsidR="0054041C" w:rsidRPr="0054041C">
        <w:rPr>
          <w:rFonts w:cstheme="minorHAnsi"/>
          <w:color w:val="000000" w:themeColor="text1"/>
          <w:sz w:val="24"/>
          <w:szCs w:val="24"/>
        </w:rPr>
        <w:t xml:space="preserve"> test di ingresso </w:t>
      </w:r>
      <w:r w:rsidR="0054041C">
        <w:rPr>
          <w:rFonts w:cstheme="minorHAnsi"/>
          <w:color w:val="000000" w:themeColor="text1"/>
          <w:sz w:val="24"/>
          <w:szCs w:val="24"/>
        </w:rPr>
        <w:t xml:space="preserve">per </w:t>
      </w:r>
      <w:r w:rsidR="0054041C" w:rsidRPr="0054041C">
        <w:rPr>
          <w:rFonts w:cstheme="minorHAnsi"/>
          <w:color w:val="000000" w:themeColor="text1"/>
          <w:sz w:val="24"/>
          <w:szCs w:val="24"/>
        </w:rPr>
        <w:t xml:space="preserve">l'accesso </w:t>
      </w:r>
      <w:r w:rsidR="0054041C">
        <w:rPr>
          <w:rFonts w:cstheme="minorHAnsi"/>
          <w:color w:val="000000" w:themeColor="text1"/>
          <w:sz w:val="24"/>
          <w:szCs w:val="24"/>
        </w:rPr>
        <w:t xml:space="preserve">a L-27 aumentando a </w:t>
      </w:r>
      <w:r w:rsidR="0054041C" w:rsidRPr="0054041C">
        <w:rPr>
          <w:rFonts w:cstheme="minorHAnsi"/>
          <w:color w:val="000000" w:themeColor="text1"/>
          <w:sz w:val="24"/>
          <w:szCs w:val="24"/>
        </w:rPr>
        <w:t xml:space="preserve">110 </w:t>
      </w:r>
      <w:r w:rsidR="0054041C">
        <w:rPr>
          <w:rFonts w:cstheme="minorHAnsi"/>
          <w:color w:val="000000" w:themeColor="text1"/>
          <w:sz w:val="24"/>
          <w:szCs w:val="24"/>
        </w:rPr>
        <w:t xml:space="preserve">il numero di posti </w:t>
      </w:r>
      <w:r w:rsidR="0054041C" w:rsidRPr="0054041C">
        <w:rPr>
          <w:rFonts w:cstheme="minorHAnsi"/>
          <w:color w:val="000000" w:themeColor="text1"/>
          <w:sz w:val="24"/>
          <w:szCs w:val="24"/>
        </w:rPr>
        <w:t>disponibili, dei quali 5 riservati agli studenti extracomunitari e 5 agli studenti del progetto Marco Polo.</w:t>
      </w:r>
    </w:p>
    <w:p w14:paraId="227FAA47" w14:textId="377C9266" w:rsidR="00B65E8A" w:rsidRDefault="00B65E8A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E0C479" w14:textId="77777777" w:rsidR="00CC6E16" w:rsidRPr="005C67A1" w:rsidRDefault="00CC6E16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5C67A1">
        <w:rPr>
          <w:rFonts w:cstheme="minorHAnsi"/>
          <w:i/>
          <w:color w:val="000000" w:themeColor="text1"/>
          <w:sz w:val="24"/>
          <w:szCs w:val="24"/>
          <w:u w:val="single"/>
        </w:rPr>
        <w:t>Gruppo A – Indicatori relativi alla didattica (DM 987/2016, allegato E)</w:t>
      </w:r>
    </w:p>
    <w:p w14:paraId="69D5F7D9" w14:textId="0D505E7B" w:rsidR="00BE511F" w:rsidRDefault="00005AA2" w:rsidP="00F631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Hlk88067575"/>
      <w:r>
        <w:rPr>
          <w:rFonts w:cstheme="minorHAnsi"/>
          <w:color w:val="000000" w:themeColor="text1"/>
          <w:sz w:val="24"/>
          <w:szCs w:val="24"/>
        </w:rPr>
        <w:t>Gli indicatori iC01-03 mostrano valori inferiori sia alla media dell’area geografica (seppur in maniera contenuta) che rispetto alla media nazionale</w:t>
      </w:r>
      <w:r w:rsidR="00E61883">
        <w:rPr>
          <w:rFonts w:cstheme="minorHAnsi"/>
          <w:color w:val="000000" w:themeColor="text1"/>
          <w:sz w:val="24"/>
          <w:szCs w:val="24"/>
        </w:rPr>
        <w:t xml:space="preserve"> indicando alcune </w:t>
      </w:r>
      <w:r w:rsidR="00E61883" w:rsidRPr="00E77F2A">
        <w:rPr>
          <w:rFonts w:cstheme="minorHAnsi"/>
          <w:b/>
          <w:bCs/>
          <w:color w:val="000000" w:themeColor="text1"/>
          <w:sz w:val="24"/>
          <w:szCs w:val="24"/>
        </w:rPr>
        <w:t>criticità</w:t>
      </w:r>
      <w:r w:rsidR="00E61883">
        <w:rPr>
          <w:rFonts w:cstheme="minorHAnsi"/>
          <w:color w:val="000000" w:themeColor="text1"/>
          <w:sz w:val="24"/>
          <w:szCs w:val="24"/>
        </w:rPr>
        <w:t xml:space="preserve"> relative soprattutto alla regolarità delle carriere degli studenti (iC01, iC02)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E61883">
        <w:rPr>
          <w:rFonts w:cstheme="minorHAnsi"/>
          <w:color w:val="000000" w:themeColor="text1"/>
          <w:sz w:val="24"/>
          <w:szCs w:val="24"/>
        </w:rPr>
        <w:t>Risulta contenuta</w:t>
      </w:r>
      <w:r w:rsidR="00272CCB">
        <w:rPr>
          <w:rFonts w:cstheme="minorHAnsi"/>
          <w:color w:val="000000" w:themeColor="text1"/>
          <w:sz w:val="24"/>
          <w:szCs w:val="24"/>
        </w:rPr>
        <w:t>, ma in crescita</w:t>
      </w:r>
      <w:r w:rsidR="00E61883">
        <w:rPr>
          <w:rFonts w:cstheme="minorHAnsi"/>
          <w:color w:val="000000" w:themeColor="text1"/>
          <w:sz w:val="24"/>
          <w:szCs w:val="24"/>
        </w:rPr>
        <w:t xml:space="preserve"> </w:t>
      </w:r>
      <w:r w:rsidR="00D573F2" w:rsidRPr="00774F98">
        <w:rPr>
          <w:rFonts w:cstheme="minorHAnsi"/>
          <w:color w:val="000000" w:themeColor="text1"/>
          <w:sz w:val="24"/>
          <w:szCs w:val="24"/>
        </w:rPr>
        <w:t>l’attrattività</w:t>
      </w:r>
      <w:r w:rsidR="009E11FE" w:rsidRPr="00774F98">
        <w:rPr>
          <w:rFonts w:cstheme="minorHAnsi"/>
          <w:color w:val="000000" w:themeColor="text1"/>
          <w:sz w:val="24"/>
          <w:szCs w:val="24"/>
        </w:rPr>
        <w:t xml:space="preserve"> </w:t>
      </w:r>
      <w:r w:rsidR="00D573F2">
        <w:rPr>
          <w:rFonts w:cstheme="minorHAnsi"/>
          <w:color w:val="000000" w:themeColor="text1"/>
          <w:sz w:val="24"/>
          <w:szCs w:val="24"/>
        </w:rPr>
        <w:t xml:space="preserve">del </w:t>
      </w:r>
      <w:proofErr w:type="spellStart"/>
      <w:r w:rsidR="00D573F2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D573F2">
        <w:rPr>
          <w:rFonts w:cstheme="minorHAnsi"/>
          <w:color w:val="000000" w:themeColor="text1"/>
          <w:sz w:val="24"/>
          <w:szCs w:val="24"/>
        </w:rPr>
        <w:t xml:space="preserve"> verso g</w:t>
      </w:r>
      <w:r w:rsidR="00D573F2" w:rsidRPr="00512791">
        <w:rPr>
          <w:rFonts w:cstheme="minorHAnsi"/>
          <w:color w:val="000000" w:themeColor="text1"/>
          <w:sz w:val="24"/>
          <w:szCs w:val="24"/>
        </w:rPr>
        <w:t xml:space="preserve">li studenti </w:t>
      </w:r>
      <w:r w:rsidR="00D573F2">
        <w:rPr>
          <w:rFonts w:cstheme="minorHAnsi"/>
          <w:color w:val="000000" w:themeColor="text1"/>
          <w:sz w:val="24"/>
          <w:szCs w:val="24"/>
        </w:rPr>
        <w:t>di altre regioni (iC03)</w:t>
      </w:r>
      <w:r w:rsidR="009E11FE">
        <w:rPr>
          <w:rFonts w:cstheme="minorHAnsi"/>
          <w:color w:val="000000" w:themeColor="text1"/>
          <w:sz w:val="24"/>
          <w:szCs w:val="24"/>
        </w:rPr>
        <w:t>.</w:t>
      </w:r>
    </w:p>
    <w:bookmarkEnd w:id="0"/>
    <w:p w14:paraId="1470594D" w14:textId="2DD626CF" w:rsidR="00BE511F" w:rsidRDefault="00E61883" w:rsidP="00755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61883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C0C2C5F" wp14:editId="41DD7084">
            <wp:extent cx="6120130" cy="207708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D0BB" w14:textId="77777777" w:rsidR="0022624A" w:rsidRDefault="0022624A" w:rsidP="00755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FC0E8A5" w14:textId="5904B7FC" w:rsidR="00B90B60" w:rsidRPr="00ED38BD" w:rsidRDefault="00CD7D38" w:rsidP="00755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8BD">
        <w:rPr>
          <w:rFonts w:cstheme="minorHAnsi"/>
          <w:color w:val="000000" w:themeColor="text1"/>
          <w:sz w:val="24"/>
          <w:szCs w:val="24"/>
        </w:rPr>
        <w:t>Per fronteggiare questi problemi,</w:t>
      </w:r>
      <w:r w:rsidR="009E11FE" w:rsidRPr="00ED38BD">
        <w:rPr>
          <w:rFonts w:cstheme="minorHAnsi"/>
          <w:color w:val="000000" w:themeColor="text1"/>
          <w:sz w:val="24"/>
          <w:szCs w:val="24"/>
        </w:rPr>
        <w:t xml:space="preserve"> il </w:t>
      </w:r>
      <w:proofErr w:type="spellStart"/>
      <w:r w:rsidR="009E11FE" w:rsidRPr="00ED38BD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9E11FE" w:rsidRPr="00ED38BD">
        <w:rPr>
          <w:rFonts w:cstheme="minorHAnsi"/>
          <w:color w:val="000000" w:themeColor="text1"/>
          <w:sz w:val="24"/>
          <w:szCs w:val="24"/>
        </w:rPr>
        <w:t xml:space="preserve"> ha potenziato l’attività di tutoring</w:t>
      </w:r>
      <w:r w:rsidR="00B844B2" w:rsidRPr="00ED38BD">
        <w:rPr>
          <w:rFonts w:cstheme="minorHAnsi"/>
          <w:color w:val="000000" w:themeColor="text1"/>
          <w:sz w:val="24"/>
          <w:szCs w:val="24"/>
        </w:rPr>
        <w:t>, aumentato il numero di appelli</w:t>
      </w:r>
      <w:r w:rsidR="00A07007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B844B2" w:rsidRPr="00ED38BD">
        <w:rPr>
          <w:rFonts w:cstheme="minorHAnsi"/>
          <w:color w:val="000000" w:themeColor="text1"/>
          <w:sz w:val="24"/>
          <w:szCs w:val="24"/>
        </w:rPr>
        <w:t>e</w:t>
      </w:r>
      <w:r w:rsidR="006F73B7" w:rsidRPr="00ED38BD">
        <w:rPr>
          <w:rFonts w:cstheme="minorHAnsi"/>
          <w:color w:val="000000" w:themeColor="text1"/>
          <w:sz w:val="24"/>
          <w:szCs w:val="24"/>
        </w:rPr>
        <w:t>d il numero di</w:t>
      </w:r>
      <w:r w:rsidR="00A07007" w:rsidRPr="00ED38BD">
        <w:rPr>
          <w:rFonts w:cstheme="minorHAnsi"/>
          <w:color w:val="000000" w:themeColor="text1"/>
          <w:sz w:val="24"/>
          <w:szCs w:val="24"/>
        </w:rPr>
        <w:t xml:space="preserve"> sedute di laurea </w:t>
      </w:r>
      <w:r w:rsidR="00B844B2" w:rsidRPr="00ED38BD">
        <w:rPr>
          <w:rFonts w:cstheme="minorHAnsi"/>
          <w:color w:val="000000" w:themeColor="text1"/>
          <w:sz w:val="24"/>
          <w:szCs w:val="24"/>
        </w:rPr>
        <w:t>nell’arco dell’anno solare</w:t>
      </w:r>
      <w:r w:rsidR="00E61883" w:rsidRPr="00ED38BD">
        <w:rPr>
          <w:rFonts w:cstheme="minorHAnsi"/>
          <w:color w:val="000000" w:themeColor="text1"/>
          <w:sz w:val="24"/>
          <w:szCs w:val="24"/>
        </w:rPr>
        <w:t xml:space="preserve">, ma tali contromisure sono state limitate nella loro efficacia </w:t>
      </w:r>
      <w:r w:rsidR="00DC7ABE" w:rsidRPr="00ED38BD">
        <w:rPr>
          <w:rFonts w:cstheme="minorHAnsi"/>
          <w:color w:val="000000" w:themeColor="text1"/>
          <w:sz w:val="24"/>
          <w:szCs w:val="24"/>
        </w:rPr>
        <w:t>a causa del</w:t>
      </w:r>
      <w:r w:rsidR="00E61883" w:rsidRPr="00ED38BD">
        <w:rPr>
          <w:rFonts w:cstheme="minorHAnsi"/>
          <w:color w:val="000000" w:themeColor="text1"/>
          <w:sz w:val="24"/>
          <w:szCs w:val="24"/>
        </w:rPr>
        <w:t>le misure di contenimento della diffusione del Sars-CoV-2</w:t>
      </w:r>
      <w:r w:rsidR="00983391" w:rsidRPr="00ED38BD">
        <w:rPr>
          <w:rFonts w:cstheme="minorHAnsi"/>
          <w:color w:val="000000" w:themeColor="text1"/>
          <w:sz w:val="24"/>
          <w:szCs w:val="24"/>
        </w:rPr>
        <w:t xml:space="preserve"> per l’AA 2019-2020</w:t>
      </w:r>
      <w:r w:rsidR="0035536F" w:rsidRPr="00ED38BD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gramStart"/>
      <w:r w:rsidR="00A07007" w:rsidRPr="00ED38BD">
        <w:rPr>
          <w:rFonts w:cstheme="minorHAnsi"/>
          <w:color w:val="000000" w:themeColor="text1"/>
          <w:sz w:val="24"/>
          <w:szCs w:val="24"/>
        </w:rPr>
        <w:t>Il</w:t>
      </w:r>
      <w:r w:rsidR="00BA7BDD" w:rsidRPr="00ED38BD">
        <w:rPr>
          <w:rFonts w:cstheme="minorHAnsi"/>
          <w:color w:val="000000" w:themeColor="text1"/>
          <w:sz w:val="24"/>
          <w:szCs w:val="24"/>
        </w:rPr>
        <w:t xml:space="preserve"> trend negativo</w:t>
      </w:r>
      <w:proofErr w:type="gramEnd"/>
      <w:r w:rsidR="00BA7BDD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Pr="00ED38BD">
        <w:rPr>
          <w:rFonts w:cstheme="minorHAnsi"/>
          <w:color w:val="000000" w:themeColor="text1"/>
          <w:sz w:val="24"/>
          <w:szCs w:val="24"/>
        </w:rPr>
        <w:t xml:space="preserve">dell’attrattività </w:t>
      </w:r>
      <w:r w:rsidR="00BA7BDD" w:rsidRPr="00ED38BD">
        <w:rPr>
          <w:rFonts w:cstheme="minorHAnsi"/>
          <w:color w:val="000000" w:themeColor="text1"/>
          <w:sz w:val="24"/>
          <w:szCs w:val="24"/>
        </w:rPr>
        <w:t xml:space="preserve">è </w:t>
      </w:r>
      <w:r w:rsidR="00A07007" w:rsidRPr="00ED38BD">
        <w:rPr>
          <w:rFonts w:cstheme="minorHAnsi"/>
          <w:color w:val="000000" w:themeColor="text1"/>
          <w:sz w:val="24"/>
          <w:szCs w:val="24"/>
        </w:rPr>
        <w:t xml:space="preserve">purtroppo </w:t>
      </w:r>
      <w:r w:rsidR="00BA7BDD" w:rsidRPr="00ED38BD">
        <w:rPr>
          <w:rFonts w:cstheme="minorHAnsi"/>
          <w:color w:val="000000" w:themeColor="text1"/>
          <w:sz w:val="24"/>
          <w:szCs w:val="24"/>
        </w:rPr>
        <w:t>comune</w:t>
      </w:r>
      <w:r w:rsidR="00FA1DCF" w:rsidRPr="00ED38BD">
        <w:rPr>
          <w:rFonts w:cstheme="minorHAnsi"/>
          <w:color w:val="000000" w:themeColor="text1"/>
          <w:sz w:val="24"/>
          <w:szCs w:val="24"/>
        </w:rPr>
        <w:t xml:space="preserve"> in modo trasversale </w:t>
      </w:r>
      <w:r w:rsidR="00BA7BDD" w:rsidRPr="00ED38BD">
        <w:rPr>
          <w:rFonts w:cstheme="minorHAnsi"/>
          <w:color w:val="000000" w:themeColor="text1"/>
          <w:sz w:val="24"/>
          <w:szCs w:val="24"/>
        </w:rPr>
        <w:t>a</w:t>
      </w:r>
      <w:r w:rsidR="00FA1DCF" w:rsidRPr="00ED38BD">
        <w:rPr>
          <w:rFonts w:cstheme="minorHAnsi"/>
          <w:color w:val="000000" w:themeColor="text1"/>
          <w:sz w:val="24"/>
          <w:szCs w:val="24"/>
        </w:rPr>
        <w:t xml:space="preserve"> tutto l’Ateneo </w:t>
      </w:r>
      <w:r w:rsidR="001D4A81" w:rsidRPr="00ED38BD">
        <w:rPr>
          <w:rFonts w:cstheme="minorHAnsi"/>
          <w:color w:val="000000" w:themeColor="text1"/>
          <w:sz w:val="24"/>
          <w:szCs w:val="24"/>
        </w:rPr>
        <w:t>barese</w:t>
      </w:r>
      <w:r w:rsidR="00BA7BDD" w:rsidRPr="00ED38BD">
        <w:rPr>
          <w:rFonts w:cstheme="minorHAnsi"/>
          <w:color w:val="000000" w:themeColor="text1"/>
          <w:sz w:val="24"/>
          <w:szCs w:val="24"/>
        </w:rPr>
        <w:t>,</w:t>
      </w:r>
      <w:r w:rsidR="00FA1DCF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35536F" w:rsidRPr="00ED38BD">
        <w:rPr>
          <w:rFonts w:cstheme="minorHAnsi"/>
          <w:color w:val="000000" w:themeColor="text1"/>
          <w:sz w:val="24"/>
          <w:szCs w:val="24"/>
        </w:rPr>
        <w:t>e</w:t>
      </w:r>
      <w:r w:rsidR="00FA1DCF" w:rsidRPr="00ED38BD">
        <w:rPr>
          <w:rFonts w:cstheme="minorHAnsi"/>
          <w:color w:val="000000" w:themeColor="text1"/>
          <w:sz w:val="24"/>
          <w:szCs w:val="24"/>
        </w:rPr>
        <w:t xml:space="preserve"> diventa particolarmente </w:t>
      </w:r>
      <w:r w:rsidR="00C8566F" w:rsidRPr="00ED38BD">
        <w:rPr>
          <w:rFonts w:cstheme="minorHAnsi"/>
          <w:color w:val="000000" w:themeColor="text1"/>
          <w:sz w:val="24"/>
          <w:szCs w:val="24"/>
        </w:rPr>
        <w:t>sever</w:t>
      </w:r>
      <w:r w:rsidR="00BA7BDD" w:rsidRPr="00ED38BD">
        <w:rPr>
          <w:rFonts w:cstheme="minorHAnsi"/>
          <w:color w:val="000000" w:themeColor="text1"/>
          <w:sz w:val="24"/>
          <w:szCs w:val="24"/>
        </w:rPr>
        <w:t>o</w:t>
      </w:r>
      <w:r w:rsidR="00FA1DCF" w:rsidRPr="00ED38BD">
        <w:rPr>
          <w:rFonts w:cstheme="minorHAnsi"/>
          <w:color w:val="000000" w:themeColor="text1"/>
          <w:sz w:val="24"/>
          <w:szCs w:val="24"/>
        </w:rPr>
        <w:t xml:space="preserve"> per le lauree magistrali.</w:t>
      </w:r>
      <w:r w:rsidR="002F1968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983391" w:rsidRPr="00ED38BD">
        <w:rPr>
          <w:rFonts w:cstheme="minorHAnsi"/>
          <w:color w:val="000000" w:themeColor="text1"/>
          <w:sz w:val="24"/>
          <w:szCs w:val="24"/>
        </w:rPr>
        <w:t xml:space="preserve">Sia l’indicatore iC05 (rapporto studenti regolari/docenti) che l’iC08 (percentuale dei docenti di ruolo che appartengono ai settori scientifico-disciplinari (SSD) di base e caratterizzanti per il </w:t>
      </w:r>
      <w:proofErr w:type="spellStart"/>
      <w:r w:rsidR="00983391" w:rsidRPr="00ED38BD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983391" w:rsidRPr="00ED38BD">
        <w:rPr>
          <w:rFonts w:cstheme="minorHAnsi"/>
          <w:color w:val="000000" w:themeColor="text1"/>
          <w:sz w:val="24"/>
          <w:szCs w:val="24"/>
        </w:rPr>
        <w:t xml:space="preserve">) sono </w:t>
      </w:r>
      <w:r w:rsidR="002F1968" w:rsidRPr="00ED38BD">
        <w:rPr>
          <w:rFonts w:cstheme="minorHAnsi"/>
          <w:color w:val="000000" w:themeColor="text1"/>
          <w:sz w:val="24"/>
          <w:szCs w:val="24"/>
        </w:rPr>
        <w:t>in linea con il dato nazionale</w:t>
      </w:r>
      <w:r w:rsidR="00EE6436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983391" w:rsidRPr="00ED38BD">
        <w:rPr>
          <w:rFonts w:cstheme="minorHAnsi"/>
          <w:color w:val="000000" w:themeColor="text1"/>
          <w:sz w:val="24"/>
          <w:szCs w:val="24"/>
        </w:rPr>
        <w:t>e di area geografica.</w:t>
      </w:r>
    </w:p>
    <w:p w14:paraId="66A9DB41" w14:textId="0DFBF1A7" w:rsidR="006B5AF2" w:rsidRPr="00ED38BD" w:rsidRDefault="00795282" w:rsidP="00DA59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8BD">
        <w:rPr>
          <w:rFonts w:cstheme="minorHAnsi"/>
          <w:color w:val="000000" w:themeColor="text1"/>
          <w:sz w:val="24"/>
          <w:szCs w:val="24"/>
        </w:rPr>
        <w:t>I dati sui</w:t>
      </w:r>
      <w:r w:rsidR="00A70048" w:rsidRPr="00ED38BD">
        <w:rPr>
          <w:rFonts w:cstheme="minorHAnsi"/>
          <w:color w:val="000000" w:themeColor="text1"/>
          <w:sz w:val="24"/>
          <w:szCs w:val="24"/>
        </w:rPr>
        <w:t xml:space="preserve"> l</w:t>
      </w:r>
      <w:r w:rsidR="00DA5991" w:rsidRPr="00ED38BD">
        <w:rPr>
          <w:rFonts w:cstheme="minorHAnsi"/>
          <w:color w:val="000000" w:themeColor="text1"/>
          <w:sz w:val="24"/>
          <w:szCs w:val="24"/>
        </w:rPr>
        <w:t xml:space="preserve">aureati occupati a un anno dal </w:t>
      </w:r>
      <w:r w:rsidR="00A70048" w:rsidRPr="00ED38BD">
        <w:rPr>
          <w:rFonts w:cstheme="minorHAnsi"/>
          <w:color w:val="000000" w:themeColor="text1"/>
          <w:sz w:val="24"/>
          <w:szCs w:val="24"/>
        </w:rPr>
        <w:t>t</w:t>
      </w:r>
      <w:r w:rsidR="00DA5991" w:rsidRPr="00ED38BD">
        <w:rPr>
          <w:rFonts w:cstheme="minorHAnsi"/>
          <w:color w:val="000000" w:themeColor="text1"/>
          <w:sz w:val="24"/>
          <w:szCs w:val="24"/>
        </w:rPr>
        <w:t>itolo</w:t>
      </w:r>
      <w:r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19195C" w:rsidRPr="00ED38BD">
        <w:rPr>
          <w:rFonts w:cstheme="minorHAnsi"/>
          <w:color w:val="000000" w:themeColor="text1"/>
          <w:sz w:val="24"/>
          <w:szCs w:val="24"/>
        </w:rPr>
        <w:t xml:space="preserve">relativi al </w:t>
      </w:r>
      <w:r w:rsidR="00C15B65" w:rsidRPr="00ED38BD">
        <w:rPr>
          <w:rFonts w:cstheme="minorHAnsi"/>
          <w:color w:val="000000" w:themeColor="text1"/>
          <w:sz w:val="24"/>
          <w:szCs w:val="24"/>
        </w:rPr>
        <w:t>quadriennio</w:t>
      </w:r>
      <w:r w:rsidR="0019195C" w:rsidRPr="00ED38BD">
        <w:rPr>
          <w:rFonts w:cstheme="minorHAnsi"/>
          <w:color w:val="000000" w:themeColor="text1"/>
          <w:sz w:val="24"/>
          <w:szCs w:val="24"/>
        </w:rPr>
        <w:t xml:space="preserve"> 201</w:t>
      </w:r>
      <w:r w:rsidR="00983391" w:rsidRPr="00ED38BD">
        <w:rPr>
          <w:rFonts w:cstheme="minorHAnsi"/>
          <w:color w:val="000000" w:themeColor="text1"/>
          <w:sz w:val="24"/>
          <w:szCs w:val="24"/>
        </w:rPr>
        <w:t>6</w:t>
      </w:r>
      <w:r w:rsidR="0019195C" w:rsidRPr="00ED38BD">
        <w:rPr>
          <w:rFonts w:cstheme="minorHAnsi"/>
          <w:color w:val="000000" w:themeColor="text1"/>
          <w:sz w:val="24"/>
          <w:szCs w:val="24"/>
        </w:rPr>
        <w:t>-20</w:t>
      </w:r>
      <w:r w:rsidR="00983391" w:rsidRPr="00ED38BD">
        <w:rPr>
          <w:rFonts w:cstheme="minorHAnsi"/>
          <w:color w:val="000000" w:themeColor="text1"/>
          <w:sz w:val="24"/>
          <w:szCs w:val="24"/>
        </w:rPr>
        <w:t>20</w:t>
      </w:r>
      <w:r w:rsidR="0019195C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Pr="00ED38BD">
        <w:rPr>
          <w:rFonts w:cstheme="minorHAnsi"/>
          <w:color w:val="000000" w:themeColor="text1"/>
          <w:sz w:val="24"/>
          <w:szCs w:val="24"/>
        </w:rPr>
        <w:t>(</w:t>
      </w:r>
      <w:r w:rsidR="00D3206A" w:rsidRPr="00ED38BD">
        <w:rPr>
          <w:rFonts w:cstheme="minorHAnsi"/>
          <w:color w:val="000000" w:themeColor="text1"/>
          <w:sz w:val="24"/>
          <w:szCs w:val="24"/>
        </w:rPr>
        <w:t>indicatori iC06, iC06BIS e IC06</w:t>
      </w:r>
      <w:r w:rsidR="00983391" w:rsidRPr="00ED38BD">
        <w:rPr>
          <w:rFonts w:cstheme="minorHAnsi"/>
          <w:color w:val="000000" w:themeColor="text1"/>
          <w:sz w:val="24"/>
          <w:szCs w:val="24"/>
        </w:rPr>
        <w:t>TER</w:t>
      </w:r>
      <w:r w:rsidR="00BA7BDD" w:rsidRPr="00ED38BD">
        <w:rPr>
          <w:rFonts w:cstheme="minorHAnsi"/>
          <w:color w:val="000000" w:themeColor="text1"/>
          <w:sz w:val="24"/>
          <w:szCs w:val="24"/>
        </w:rPr>
        <w:t>)</w:t>
      </w:r>
      <w:r w:rsidR="0019195C" w:rsidRPr="00ED38BD">
        <w:rPr>
          <w:rFonts w:cstheme="minorHAnsi"/>
          <w:color w:val="000000" w:themeColor="text1"/>
          <w:sz w:val="24"/>
          <w:szCs w:val="24"/>
        </w:rPr>
        <w:t xml:space="preserve"> sono </w:t>
      </w:r>
      <w:r w:rsidR="00983391" w:rsidRPr="00ED38BD">
        <w:rPr>
          <w:rFonts w:cstheme="minorHAnsi"/>
          <w:color w:val="000000" w:themeColor="text1"/>
          <w:sz w:val="24"/>
          <w:szCs w:val="24"/>
        </w:rPr>
        <w:t>mediamente superiori ai dati di area e nazionale, ma il campione appare poco rappresentativo e soggetto ad una certa variabilità</w:t>
      </w:r>
      <w:r w:rsidR="0019195C" w:rsidRPr="00ED38BD">
        <w:rPr>
          <w:rFonts w:cstheme="minorHAnsi"/>
          <w:color w:val="000000" w:themeColor="text1"/>
          <w:sz w:val="24"/>
          <w:szCs w:val="24"/>
        </w:rPr>
        <w:t>.</w:t>
      </w:r>
    </w:p>
    <w:p w14:paraId="1D4D3A3C" w14:textId="77777777" w:rsidR="00FA252A" w:rsidRPr="00ED38BD" w:rsidRDefault="00FA252A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6BFDFAC" w14:textId="77777777" w:rsidR="00E65568" w:rsidRPr="00ED38BD" w:rsidRDefault="00CC6E16" w:rsidP="00CC6E1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ED38BD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Gruppo B – Indicatori di </w:t>
      </w:r>
      <w:bookmarkStart w:id="1" w:name="_Hlk528953792"/>
      <w:r w:rsidRPr="00ED38BD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internazionalizzazione </w:t>
      </w:r>
      <w:bookmarkEnd w:id="1"/>
      <w:r w:rsidRPr="00ED38BD">
        <w:rPr>
          <w:rFonts w:cstheme="minorHAnsi"/>
          <w:i/>
          <w:color w:val="000000" w:themeColor="text1"/>
          <w:sz w:val="24"/>
          <w:szCs w:val="24"/>
          <w:u w:val="single"/>
        </w:rPr>
        <w:t>(DM 987/2016, allegato E)</w:t>
      </w:r>
      <w:r w:rsidR="00FA252A" w:rsidRPr="00ED38BD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 </w:t>
      </w:r>
    </w:p>
    <w:p w14:paraId="168475B5" w14:textId="1A04A6E5" w:rsidR="007E5464" w:rsidRDefault="0000041A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38BD">
        <w:rPr>
          <w:rFonts w:cstheme="minorHAnsi"/>
          <w:color w:val="000000" w:themeColor="text1"/>
          <w:sz w:val="24"/>
          <w:szCs w:val="24"/>
        </w:rPr>
        <w:t xml:space="preserve">Questi </w:t>
      </w:r>
      <w:r w:rsidR="00CC6E16" w:rsidRPr="00ED38BD">
        <w:rPr>
          <w:rFonts w:cstheme="minorHAnsi"/>
          <w:color w:val="000000" w:themeColor="text1"/>
          <w:sz w:val="24"/>
          <w:szCs w:val="24"/>
        </w:rPr>
        <w:t>indicatori</w:t>
      </w:r>
      <w:r w:rsidR="0056286F" w:rsidRPr="00ED38BD">
        <w:rPr>
          <w:rFonts w:cstheme="minorHAnsi"/>
          <w:color w:val="000000" w:themeColor="text1"/>
          <w:sz w:val="24"/>
          <w:szCs w:val="24"/>
        </w:rPr>
        <w:t xml:space="preserve"> (iC10</w:t>
      </w:r>
      <w:r w:rsidR="00976EB5" w:rsidRPr="00ED38BD">
        <w:rPr>
          <w:rFonts w:cstheme="minorHAnsi"/>
          <w:color w:val="000000" w:themeColor="text1"/>
          <w:sz w:val="24"/>
          <w:szCs w:val="24"/>
        </w:rPr>
        <w:t>,</w:t>
      </w:r>
      <w:r w:rsidR="0056286F" w:rsidRPr="00ED38BD">
        <w:rPr>
          <w:rFonts w:cstheme="minorHAnsi"/>
          <w:color w:val="000000" w:themeColor="text1"/>
          <w:sz w:val="24"/>
          <w:szCs w:val="24"/>
        </w:rPr>
        <w:t xml:space="preserve"> iC11</w:t>
      </w:r>
      <w:r w:rsidR="00976EB5" w:rsidRPr="00ED38BD">
        <w:rPr>
          <w:rFonts w:cstheme="minorHAnsi"/>
          <w:color w:val="000000" w:themeColor="text1"/>
          <w:sz w:val="24"/>
          <w:szCs w:val="24"/>
        </w:rPr>
        <w:t xml:space="preserve"> e iC12</w:t>
      </w:r>
      <w:r w:rsidR="0056286F" w:rsidRPr="00ED38BD">
        <w:rPr>
          <w:rFonts w:cstheme="minorHAnsi"/>
          <w:color w:val="000000" w:themeColor="text1"/>
          <w:sz w:val="24"/>
          <w:szCs w:val="24"/>
        </w:rPr>
        <w:t>)</w:t>
      </w:r>
      <w:r w:rsidR="00CC6E16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Pr="00ED38BD">
        <w:rPr>
          <w:rFonts w:cstheme="minorHAnsi"/>
          <w:color w:val="000000" w:themeColor="text1"/>
          <w:sz w:val="24"/>
          <w:szCs w:val="24"/>
        </w:rPr>
        <w:t>confermano l</w:t>
      </w:r>
      <w:r w:rsidR="00A70993" w:rsidRPr="00ED38BD">
        <w:rPr>
          <w:rFonts w:cstheme="minorHAnsi"/>
          <w:color w:val="000000" w:themeColor="text1"/>
          <w:sz w:val="24"/>
          <w:szCs w:val="24"/>
        </w:rPr>
        <w:t xml:space="preserve">a </w:t>
      </w:r>
      <w:r w:rsidR="00A70993" w:rsidRPr="00ED38BD">
        <w:rPr>
          <w:rFonts w:cstheme="minorHAnsi"/>
          <w:b/>
          <w:bCs/>
          <w:color w:val="000000" w:themeColor="text1"/>
          <w:sz w:val="24"/>
          <w:szCs w:val="24"/>
        </w:rPr>
        <w:t>severa</w:t>
      </w:r>
      <w:r w:rsidR="00CC6E16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CC6E16" w:rsidRPr="00ED38BD">
        <w:rPr>
          <w:rFonts w:cstheme="minorHAnsi"/>
          <w:b/>
          <w:bCs/>
          <w:color w:val="000000" w:themeColor="text1"/>
          <w:sz w:val="24"/>
          <w:szCs w:val="24"/>
        </w:rPr>
        <w:t>criticità</w:t>
      </w:r>
      <w:r w:rsidR="00CC6E16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56286F" w:rsidRPr="00ED38BD">
        <w:rPr>
          <w:rFonts w:cstheme="minorHAnsi"/>
          <w:color w:val="000000" w:themeColor="text1"/>
          <w:sz w:val="24"/>
          <w:szCs w:val="24"/>
        </w:rPr>
        <w:t>già evidenziat</w:t>
      </w:r>
      <w:r w:rsidR="00A70993" w:rsidRPr="00ED38BD">
        <w:rPr>
          <w:rFonts w:cstheme="minorHAnsi"/>
          <w:color w:val="000000" w:themeColor="text1"/>
          <w:sz w:val="24"/>
          <w:szCs w:val="24"/>
        </w:rPr>
        <w:t>a</w:t>
      </w:r>
      <w:r w:rsidR="0056286F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Pr="00ED38BD">
        <w:rPr>
          <w:rFonts w:cstheme="minorHAnsi"/>
          <w:color w:val="000000" w:themeColor="text1"/>
          <w:sz w:val="24"/>
          <w:szCs w:val="24"/>
        </w:rPr>
        <w:t>nella precedente SMA legat</w:t>
      </w:r>
      <w:r w:rsidR="00A70993" w:rsidRPr="00ED38BD">
        <w:rPr>
          <w:rFonts w:cstheme="minorHAnsi"/>
          <w:color w:val="000000" w:themeColor="text1"/>
          <w:sz w:val="24"/>
          <w:szCs w:val="24"/>
        </w:rPr>
        <w:t>a</w:t>
      </w:r>
      <w:r w:rsidR="00D83FCA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701E28" w:rsidRPr="00ED38BD">
        <w:rPr>
          <w:rFonts w:cstheme="minorHAnsi"/>
          <w:color w:val="000000" w:themeColor="text1"/>
          <w:sz w:val="24"/>
          <w:szCs w:val="24"/>
        </w:rPr>
        <w:t>alla</w:t>
      </w:r>
      <w:r w:rsidR="00CC6E16" w:rsidRPr="00ED38BD">
        <w:rPr>
          <w:rFonts w:cstheme="minorHAnsi"/>
          <w:color w:val="000000" w:themeColor="text1"/>
          <w:sz w:val="24"/>
          <w:szCs w:val="24"/>
        </w:rPr>
        <w:t xml:space="preserve"> difficoltà </w:t>
      </w:r>
      <w:r w:rsidR="00D83FCA" w:rsidRPr="00ED38BD">
        <w:rPr>
          <w:rFonts w:cstheme="minorHAnsi"/>
          <w:color w:val="000000" w:themeColor="text1"/>
          <w:sz w:val="24"/>
          <w:szCs w:val="24"/>
        </w:rPr>
        <w:t>incontrata da</w:t>
      </w:r>
      <w:r w:rsidR="00CC6E16" w:rsidRPr="00ED38BD">
        <w:rPr>
          <w:rFonts w:cstheme="minorHAnsi"/>
          <w:color w:val="000000" w:themeColor="text1"/>
          <w:sz w:val="24"/>
          <w:szCs w:val="24"/>
        </w:rPr>
        <w:t>gli studenti</w:t>
      </w:r>
      <w:r w:rsidR="00FA252A" w:rsidRPr="00ED38BD">
        <w:rPr>
          <w:rFonts w:cstheme="minorHAnsi"/>
          <w:color w:val="000000" w:themeColor="text1"/>
          <w:sz w:val="24"/>
          <w:szCs w:val="24"/>
        </w:rPr>
        <w:t xml:space="preserve"> </w:t>
      </w:r>
      <w:r w:rsidR="00CC6E16" w:rsidRPr="00ED38BD">
        <w:rPr>
          <w:rFonts w:cstheme="minorHAnsi"/>
          <w:color w:val="000000" w:themeColor="text1"/>
          <w:sz w:val="24"/>
          <w:szCs w:val="24"/>
        </w:rPr>
        <w:t xml:space="preserve">della laurea triennale </w:t>
      </w:r>
      <w:r w:rsidR="002E3239" w:rsidRPr="00ED38BD">
        <w:rPr>
          <w:rFonts w:cstheme="minorHAnsi"/>
          <w:color w:val="000000" w:themeColor="text1"/>
          <w:sz w:val="24"/>
          <w:szCs w:val="24"/>
        </w:rPr>
        <w:t>ad</w:t>
      </w:r>
      <w:r w:rsidR="00CC6E16" w:rsidRPr="00ED38BD">
        <w:rPr>
          <w:rFonts w:cstheme="minorHAnsi"/>
          <w:color w:val="000000" w:themeColor="text1"/>
          <w:sz w:val="24"/>
          <w:szCs w:val="24"/>
        </w:rPr>
        <w:t xml:space="preserve"> andare </w:t>
      </w:r>
      <w:r w:rsidR="00182ACB" w:rsidRPr="00ED38BD">
        <w:rPr>
          <w:rFonts w:cstheme="minorHAnsi"/>
          <w:color w:val="000000" w:themeColor="text1"/>
          <w:sz w:val="24"/>
          <w:szCs w:val="24"/>
        </w:rPr>
        <w:t>in mobilità Erasmus</w:t>
      </w:r>
      <w:r w:rsidR="00CC6E16" w:rsidRPr="00ED38BD">
        <w:rPr>
          <w:rFonts w:cstheme="minorHAnsi"/>
          <w:color w:val="000000" w:themeColor="text1"/>
          <w:sz w:val="24"/>
          <w:szCs w:val="24"/>
        </w:rPr>
        <w:t xml:space="preserve">. </w:t>
      </w:r>
      <w:r w:rsidR="00AD73E2" w:rsidRPr="00ED38BD">
        <w:rPr>
          <w:rFonts w:cstheme="minorHAnsi"/>
          <w:color w:val="000000" w:themeColor="text1"/>
          <w:sz w:val="24"/>
          <w:szCs w:val="24"/>
        </w:rPr>
        <w:t xml:space="preserve">Nonostante gli incentivi da parte dell’Ateneo e del </w:t>
      </w:r>
      <w:proofErr w:type="spellStart"/>
      <w:r w:rsidR="00AD73E2" w:rsidRPr="00ED38BD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AD73E2" w:rsidRPr="00ED38BD">
        <w:rPr>
          <w:rFonts w:cstheme="minorHAnsi"/>
          <w:color w:val="000000" w:themeColor="text1"/>
          <w:sz w:val="24"/>
          <w:szCs w:val="24"/>
        </w:rPr>
        <w:t xml:space="preserve">, nella gran parte dei casi </w:t>
      </w:r>
      <w:r w:rsidR="00667B81" w:rsidRPr="00ED38BD">
        <w:rPr>
          <w:rFonts w:cstheme="minorHAnsi"/>
          <w:color w:val="000000" w:themeColor="text1"/>
          <w:sz w:val="24"/>
          <w:szCs w:val="24"/>
        </w:rPr>
        <w:t xml:space="preserve">gli studenti </w:t>
      </w:r>
      <w:r w:rsidR="00AD73E2" w:rsidRPr="00ED38BD">
        <w:rPr>
          <w:rFonts w:cstheme="minorHAnsi"/>
          <w:color w:val="000000" w:themeColor="text1"/>
          <w:sz w:val="24"/>
          <w:szCs w:val="24"/>
        </w:rPr>
        <w:t>preferiscono rimandare l’eventuale esperienza all’estero alla magistrale ed evitare così ritardi nel conseguimento della laurea.</w:t>
      </w:r>
    </w:p>
    <w:p w14:paraId="253A6D5E" w14:textId="6322A301" w:rsidR="007E5464" w:rsidRDefault="007E5464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D4413E" w14:textId="2C4DC8C8" w:rsidR="000B183C" w:rsidRDefault="00976EB5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76EB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451A0EA" wp14:editId="01B4DDAB">
            <wp:extent cx="6120130" cy="318770"/>
            <wp:effectExtent l="0" t="0" r="0" b="508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5859" w14:textId="1112073C" w:rsidR="007E5464" w:rsidRDefault="00773984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3984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8F84C2F" wp14:editId="6B2A3851">
            <wp:extent cx="6120130" cy="59817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6BDD0" w14:textId="77777777" w:rsidR="007E5464" w:rsidRDefault="007E5464" w:rsidP="004E4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652BDB2" w14:textId="77777777" w:rsidR="00E65568" w:rsidRPr="00FA6C2C" w:rsidRDefault="00CC6E16" w:rsidP="00FA252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FA6C2C">
        <w:rPr>
          <w:rFonts w:cstheme="minorHAnsi"/>
          <w:i/>
          <w:color w:val="000000" w:themeColor="text1"/>
          <w:sz w:val="24"/>
          <w:szCs w:val="24"/>
          <w:u w:val="single"/>
        </w:rPr>
        <w:t>Gruppo E – Ulteriori Indicatori per la valutazione della didattica (DM 987/2016, allegato E)</w:t>
      </w:r>
      <w:r w:rsidR="00FA252A" w:rsidRPr="00FA6C2C">
        <w:rPr>
          <w:rFonts w:cstheme="minorHAnsi"/>
          <w:i/>
          <w:color w:val="000000" w:themeColor="text1"/>
          <w:sz w:val="24"/>
          <w:szCs w:val="24"/>
          <w:u w:val="single"/>
        </w:rPr>
        <w:t xml:space="preserve"> </w:t>
      </w:r>
    </w:p>
    <w:p w14:paraId="017B4259" w14:textId="251317CA" w:rsidR="008A43D6" w:rsidRDefault="00774F98" w:rsidP="004508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Alcuni </w:t>
      </w:r>
      <w:r w:rsidR="00D3668B" w:rsidRPr="00512791">
        <w:rPr>
          <w:rFonts w:cstheme="minorHAnsi"/>
          <w:color w:val="000000" w:themeColor="text1"/>
          <w:sz w:val="24"/>
          <w:szCs w:val="24"/>
        </w:rPr>
        <w:t>indicatori di questo gruppo</w:t>
      </w:r>
      <w:r w:rsidR="00A359CB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permettono di monitorare in dettaglio il passaggio cruciale per la carriera dello studente di questo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tra I e II anno (iC13-16BIS), in </w:t>
      </w:r>
      <w:r w:rsidRPr="00ED38BD">
        <w:rPr>
          <w:rFonts w:cstheme="minorHAnsi"/>
          <w:color w:val="000000" w:themeColor="text1"/>
          <w:sz w:val="24"/>
          <w:szCs w:val="24"/>
        </w:rPr>
        <w:t>particolare in termin</w:t>
      </w:r>
      <w:r w:rsidR="004D05A9" w:rsidRPr="00ED38BD">
        <w:rPr>
          <w:rFonts w:cstheme="minorHAnsi"/>
          <w:color w:val="000000" w:themeColor="text1"/>
          <w:sz w:val="24"/>
          <w:szCs w:val="24"/>
        </w:rPr>
        <w:t>i</w:t>
      </w:r>
      <w:r w:rsidRPr="00ED38BD">
        <w:rPr>
          <w:rFonts w:cstheme="minorHAnsi"/>
          <w:color w:val="000000" w:themeColor="text1"/>
          <w:sz w:val="24"/>
          <w:szCs w:val="24"/>
        </w:rPr>
        <w:t xml:space="preserve"> di</w:t>
      </w:r>
      <w:r>
        <w:rPr>
          <w:rFonts w:cstheme="minorHAnsi"/>
          <w:color w:val="000000" w:themeColor="text1"/>
          <w:sz w:val="24"/>
          <w:szCs w:val="24"/>
        </w:rPr>
        <w:t xml:space="preserve"> CFU acquisiti (iC13, 15, 15BIS, 16, 16BIS)</w:t>
      </w:r>
      <w:r w:rsidR="00ED200C"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 xml:space="preserve">I dati ad essi relativi risultano </w:t>
      </w:r>
      <w:bookmarkStart w:id="2" w:name="_Hlk88068105"/>
      <w:r w:rsidR="00822BB8">
        <w:rPr>
          <w:rFonts w:cstheme="minorHAnsi"/>
          <w:color w:val="000000" w:themeColor="text1"/>
          <w:sz w:val="24"/>
          <w:szCs w:val="24"/>
        </w:rPr>
        <w:t xml:space="preserve">in linea con </w:t>
      </w:r>
      <w:r>
        <w:rPr>
          <w:rFonts w:cstheme="minorHAnsi"/>
          <w:color w:val="000000" w:themeColor="text1"/>
          <w:sz w:val="24"/>
          <w:szCs w:val="24"/>
        </w:rPr>
        <w:t>le medie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 dell’area geografica</w:t>
      </w:r>
      <w:r w:rsidR="00C40E82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e poco sotto quelle</w:t>
      </w:r>
      <w:r w:rsidR="00C40E82">
        <w:rPr>
          <w:rFonts w:cstheme="minorHAnsi"/>
          <w:color w:val="000000" w:themeColor="text1"/>
          <w:sz w:val="24"/>
          <w:szCs w:val="24"/>
        </w:rPr>
        <w:t xml:space="preserve"> nazional</w:t>
      </w:r>
      <w:r>
        <w:rPr>
          <w:rFonts w:cstheme="minorHAnsi"/>
          <w:color w:val="000000" w:themeColor="text1"/>
          <w:sz w:val="24"/>
          <w:szCs w:val="24"/>
        </w:rPr>
        <w:t>i</w:t>
      </w:r>
      <w:r w:rsidR="00822BB8">
        <w:rPr>
          <w:rFonts w:cstheme="minorHAnsi"/>
          <w:color w:val="000000" w:themeColor="text1"/>
          <w:sz w:val="24"/>
          <w:szCs w:val="24"/>
        </w:rPr>
        <w:t xml:space="preserve">. </w:t>
      </w:r>
      <w:bookmarkEnd w:id="2"/>
      <w:r w:rsidR="00524124">
        <w:rPr>
          <w:rFonts w:cstheme="minorHAnsi"/>
          <w:color w:val="000000" w:themeColor="text1"/>
          <w:sz w:val="24"/>
          <w:szCs w:val="24"/>
        </w:rPr>
        <w:t xml:space="preserve">Prosegue, quindi, </w:t>
      </w:r>
      <w:proofErr w:type="gramStart"/>
      <w:r w:rsidR="00524124">
        <w:rPr>
          <w:rFonts w:cstheme="minorHAnsi"/>
          <w:color w:val="000000" w:themeColor="text1"/>
          <w:sz w:val="24"/>
          <w:szCs w:val="24"/>
        </w:rPr>
        <w:t>un trend sostanzialmente positivo dovuto</w:t>
      </w:r>
      <w:proofErr w:type="gramEnd"/>
      <w:r w:rsidR="00524124">
        <w:rPr>
          <w:rFonts w:cstheme="minorHAnsi"/>
          <w:color w:val="000000" w:themeColor="text1"/>
          <w:sz w:val="24"/>
          <w:szCs w:val="24"/>
        </w:rPr>
        <w:t xml:space="preserve"> ad azioni intraprese a partire dal 2017.</w:t>
      </w:r>
    </w:p>
    <w:p w14:paraId="17B8F368" w14:textId="3783FB40" w:rsidR="00294682" w:rsidRDefault="00294682" w:rsidP="009C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D4A90F4" w14:textId="4D4E3987" w:rsidR="00524124" w:rsidRDefault="00524124" w:rsidP="009C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24124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E4D9197" wp14:editId="157515E5">
            <wp:extent cx="6120130" cy="333565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6AC06" w14:textId="77777777" w:rsidR="00524124" w:rsidRDefault="00524124" w:rsidP="009C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0FCA9FC" w14:textId="2664EFD5" w:rsidR="00D51F07" w:rsidRDefault="006B4809" w:rsidP="009C4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È importante sottolineare un miglioramento significativo della percentuale di laureati in corso </w:t>
      </w:r>
      <w:r w:rsidR="00DF2CA2">
        <w:rPr>
          <w:rFonts w:cstheme="minorHAnsi"/>
          <w:color w:val="000000" w:themeColor="text1"/>
          <w:sz w:val="24"/>
          <w:szCs w:val="24"/>
        </w:rPr>
        <w:t>(iC22)</w:t>
      </w:r>
      <w:r w:rsidR="00090E6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per l’AA 2019-2020 </w:t>
      </w:r>
      <w:r w:rsidR="00F810BE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>d è buono il dato</w:t>
      </w:r>
      <w:r w:rsidR="00F810BE">
        <w:rPr>
          <w:rFonts w:cstheme="minorHAnsi"/>
          <w:color w:val="000000" w:themeColor="text1"/>
          <w:sz w:val="24"/>
          <w:szCs w:val="24"/>
        </w:rPr>
        <w:t xml:space="preserve"> </w:t>
      </w:r>
      <w:r w:rsidRPr="006B4809">
        <w:rPr>
          <w:rFonts w:cstheme="minorHAnsi"/>
          <w:color w:val="000000" w:themeColor="text1"/>
          <w:sz w:val="24"/>
          <w:szCs w:val="24"/>
        </w:rPr>
        <w:t>sui</w:t>
      </w:r>
      <w:r w:rsidR="00F810BE" w:rsidRPr="006B4809">
        <w:rPr>
          <w:rFonts w:cstheme="minorHAnsi"/>
          <w:color w:val="000000" w:themeColor="text1"/>
          <w:sz w:val="24"/>
          <w:szCs w:val="24"/>
        </w:rPr>
        <w:t xml:space="preserve"> laureati entro 1 anno FC</w:t>
      </w:r>
      <w:r w:rsidR="00DF2CA2">
        <w:rPr>
          <w:rFonts w:cstheme="minorHAnsi"/>
          <w:color w:val="000000" w:themeColor="text1"/>
          <w:sz w:val="24"/>
          <w:szCs w:val="24"/>
        </w:rPr>
        <w:t xml:space="preserve"> (iC17)</w:t>
      </w:r>
      <w:r w:rsidR="005B25DA">
        <w:rPr>
          <w:rFonts w:cstheme="minorHAnsi"/>
          <w:color w:val="000000" w:themeColor="text1"/>
          <w:sz w:val="24"/>
          <w:szCs w:val="24"/>
        </w:rPr>
        <w:t xml:space="preserve"> </w:t>
      </w:r>
      <w:r w:rsidR="00090E66">
        <w:rPr>
          <w:rFonts w:cstheme="minorHAnsi"/>
          <w:color w:val="000000" w:themeColor="text1"/>
          <w:sz w:val="24"/>
          <w:szCs w:val="24"/>
        </w:rPr>
        <w:t>rispetto alla coorte</w:t>
      </w:r>
      <w:r w:rsidR="00552E9F">
        <w:rPr>
          <w:rFonts w:cstheme="minorHAnsi"/>
          <w:color w:val="000000" w:themeColor="text1"/>
          <w:sz w:val="24"/>
          <w:szCs w:val="24"/>
        </w:rPr>
        <w:t>.</w:t>
      </w:r>
    </w:p>
    <w:p w14:paraId="4BDB5C5D" w14:textId="39732AFC" w:rsidR="00A359CB" w:rsidRDefault="00A359CB" w:rsidP="001E0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59CB" w14:paraId="2192A6EA" w14:textId="77777777" w:rsidTr="00A359CB">
        <w:tc>
          <w:tcPr>
            <w:tcW w:w="9628" w:type="dxa"/>
          </w:tcPr>
          <w:p w14:paraId="3D4C41A5" w14:textId="08FF8251" w:rsidR="002F365A" w:rsidRDefault="0058780C" w:rsidP="002F365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8780C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F638DD" wp14:editId="72A61228">
                  <wp:extent cx="6068841" cy="339725"/>
                  <wp:effectExtent l="0" t="0" r="8255" b="3175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9717" cy="3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7BC24" w14:textId="287EB770" w:rsidR="00DF2CA2" w:rsidRDefault="00524124" w:rsidP="002F365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4124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6BB97F4" wp14:editId="135EDBE4">
                  <wp:extent cx="6012000" cy="481635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000" cy="4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20625" w14:textId="123A514A" w:rsidR="00A359CB" w:rsidRDefault="006B4809" w:rsidP="0058780C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B4809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20B322" wp14:editId="417B2682">
                  <wp:extent cx="6012000" cy="477262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000" cy="47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4DF2A" w14:textId="758D4768" w:rsidR="00A359CB" w:rsidRDefault="00A359CB" w:rsidP="001E0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6925DC8" w14:textId="77777777" w:rsidR="000D4FC3" w:rsidRPr="00CF3F7A" w:rsidRDefault="00FF3CA8" w:rsidP="00332A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  <w:u w:val="single"/>
        </w:rPr>
      </w:pPr>
      <w:r w:rsidRPr="00CF3F7A">
        <w:rPr>
          <w:rFonts w:cstheme="minorHAnsi"/>
          <w:i/>
          <w:color w:val="000000" w:themeColor="text1"/>
          <w:sz w:val="24"/>
          <w:szCs w:val="24"/>
          <w:u w:val="single"/>
        </w:rPr>
        <w:t>Indicatori di Approfondimento per la Sperimentazione - Percorso di studio e regolarità delle carriere</w:t>
      </w:r>
    </w:p>
    <w:p w14:paraId="683B26AE" w14:textId="78AE0F2B" w:rsidR="000D4FC3" w:rsidRPr="00937146" w:rsidRDefault="00CE4B44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937146">
        <w:rPr>
          <w:rFonts w:cstheme="minorHAnsi"/>
          <w:color w:val="000000" w:themeColor="text1"/>
          <w:sz w:val="24"/>
        </w:rPr>
        <w:t>L’indicatore</w:t>
      </w:r>
      <w:r w:rsidR="00950083" w:rsidRPr="00937146">
        <w:rPr>
          <w:rFonts w:cstheme="minorHAnsi"/>
          <w:color w:val="000000" w:themeColor="text1"/>
          <w:sz w:val="24"/>
        </w:rPr>
        <w:t xml:space="preserve"> senza dubbio </w:t>
      </w:r>
      <w:r w:rsidR="00CD6FBC" w:rsidRPr="00937146">
        <w:rPr>
          <w:rFonts w:cstheme="minorHAnsi"/>
          <w:color w:val="000000" w:themeColor="text1"/>
          <w:sz w:val="24"/>
        </w:rPr>
        <w:t xml:space="preserve">più </w:t>
      </w:r>
      <w:r w:rsidR="00950083" w:rsidRPr="00937146">
        <w:rPr>
          <w:rFonts w:cstheme="minorHAnsi"/>
          <w:color w:val="000000" w:themeColor="text1"/>
          <w:sz w:val="24"/>
        </w:rPr>
        <w:t xml:space="preserve">significativo </w:t>
      </w:r>
      <w:r w:rsidR="00786275" w:rsidRPr="00937146">
        <w:rPr>
          <w:rFonts w:cstheme="minorHAnsi"/>
          <w:color w:val="000000" w:themeColor="text1"/>
          <w:sz w:val="24"/>
        </w:rPr>
        <w:t>di questo gruppo</w:t>
      </w:r>
      <w:r w:rsidR="009F554D" w:rsidRPr="00937146">
        <w:rPr>
          <w:rFonts w:cstheme="minorHAnsi"/>
          <w:color w:val="000000" w:themeColor="text1"/>
          <w:sz w:val="24"/>
        </w:rPr>
        <w:t xml:space="preserve"> </w:t>
      </w:r>
      <w:r w:rsidR="006A1274" w:rsidRPr="00937146">
        <w:rPr>
          <w:rFonts w:cstheme="minorHAnsi"/>
          <w:color w:val="000000" w:themeColor="text1"/>
          <w:sz w:val="24"/>
        </w:rPr>
        <w:t xml:space="preserve">è quello degli </w:t>
      </w:r>
      <w:r w:rsidR="006A1274" w:rsidRPr="00937146">
        <w:rPr>
          <w:rFonts w:cstheme="minorHAnsi"/>
          <w:color w:val="000000" w:themeColor="text1"/>
          <w:sz w:val="24"/>
          <w:u w:val="single"/>
        </w:rPr>
        <w:t>abbandoni</w:t>
      </w:r>
      <w:r w:rsidR="006A1274" w:rsidRPr="00937146">
        <w:rPr>
          <w:rFonts w:cstheme="minorHAnsi"/>
          <w:color w:val="000000" w:themeColor="text1"/>
          <w:sz w:val="24"/>
        </w:rPr>
        <w:t xml:space="preserve"> </w:t>
      </w:r>
      <w:r w:rsidR="009C42FC" w:rsidRPr="00937146">
        <w:rPr>
          <w:rFonts w:cstheme="minorHAnsi"/>
          <w:color w:val="000000" w:themeColor="text1"/>
          <w:sz w:val="24"/>
        </w:rPr>
        <w:t xml:space="preserve">dopo N+1 anni </w:t>
      </w:r>
      <w:r w:rsidR="006A1274" w:rsidRPr="00937146">
        <w:rPr>
          <w:rFonts w:cstheme="minorHAnsi"/>
          <w:color w:val="000000" w:themeColor="text1"/>
          <w:sz w:val="24"/>
        </w:rPr>
        <w:t>(</w:t>
      </w:r>
      <w:r w:rsidR="00CD6FBC" w:rsidRPr="00937146">
        <w:rPr>
          <w:rFonts w:cstheme="minorHAnsi"/>
          <w:color w:val="000000" w:themeColor="text1"/>
          <w:sz w:val="24"/>
        </w:rPr>
        <w:t>iC24</w:t>
      </w:r>
      <w:r w:rsidR="006A1274" w:rsidRPr="00937146">
        <w:rPr>
          <w:rFonts w:cstheme="minorHAnsi"/>
          <w:color w:val="000000" w:themeColor="text1"/>
          <w:sz w:val="24"/>
        </w:rPr>
        <w:t>)</w:t>
      </w:r>
      <w:r w:rsidR="00C51863" w:rsidRPr="00937146">
        <w:rPr>
          <w:rFonts w:cstheme="minorHAnsi"/>
          <w:color w:val="000000" w:themeColor="text1"/>
          <w:sz w:val="24"/>
        </w:rPr>
        <w:t xml:space="preserve">, </w:t>
      </w:r>
      <w:r w:rsidR="00621ED1" w:rsidRPr="00937146">
        <w:rPr>
          <w:rFonts w:cstheme="minorHAnsi"/>
          <w:color w:val="000000" w:themeColor="text1"/>
          <w:sz w:val="24"/>
        </w:rPr>
        <w:t>anche quest’anno</w:t>
      </w:r>
      <w:r w:rsidR="00C51863" w:rsidRPr="00937146">
        <w:rPr>
          <w:rFonts w:cstheme="minorHAnsi"/>
          <w:color w:val="000000" w:themeColor="text1"/>
          <w:sz w:val="24"/>
        </w:rPr>
        <w:t xml:space="preserve"> in linea con il dato dell’area geografica e quello nazionale.</w:t>
      </w:r>
      <w:r w:rsidR="009179A2" w:rsidRPr="00937146">
        <w:rPr>
          <w:rFonts w:cstheme="minorHAnsi"/>
          <w:color w:val="000000" w:themeColor="text1"/>
          <w:sz w:val="24"/>
        </w:rPr>
        <w:t xml:space="preserve"> </w:t>
      </w:r>
    </w:p>
    <w:p w14:paraId="4047DF04" w14:textId="10550650" w:rsidR="00210435" w:rsidRDefault="00210435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3A9" w14:paraId="192F68F2" w14:textId="77777777" w:rsidTr="006B43A9">
        <w:tc>
          <w:tcPr>
            <w:tcW w:w="9628" w:type="dxa"/>
          </w:tcPr>
          <w:p w14:paraId="7F6CB0A0" w14:textId="22B41891" w:rsidR="007E5AD3" w:rsidRDefault="009C42FC" w:rsidP="006B43A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2"/>
                <w:szCs w:val="10"/>
              </w:rPr>
            </w:pPr>
            <w:r w:rsidRPr="0058780C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21F3390" wp14:editId="3FAF660C">
                  <wp:extent cx="6068841" cy="339076"/>
                  <wp:effectExtent l="0" t="0" r="0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203" cy="38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CA052" w14:textId="286B53FA" w:rsidR="006B43A9" w:rsidRPr="006B43A9" w:rsidRDefault="00621ED1" w:rsidP="009C42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12"/>
                <w:szCs w:val="10"/>
              </w:rPr>
            </w:pPr>
            <w:r w:rsidRPr="00621ED1">
              <w:rPr>
                <w:rFonts w:cstheme="minorHAnsi"/>
                <w:noProof/>
                <w:color w:val="000000" w:themeColor="text1"/>
                <w:sz w:val="12"/>
                <w:szCs w:val="10"/>
              </w:rPr>
              <w:drawing>
                <wp:inline distT="0" distB="0" distL="0" distR="0" wp14:anchorId="1F82BABE" wp14:editId="364D3937">
                  <wp:extent cx="6012000" cy="472888"/>
                  <wp:effectExtent l="0" t="0" r="0" b="381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000" cy="472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DD579" w14:textId="0BEFFCFE" w:rsidR="006B43A9" w:rsidRDefault="006B43A9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10C948A2" w14:textId="12D91921" w:rsidR="009179A2" w:rsidRDefault="00937146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Da un’analisi d’insieme dei dati relativi agli indicatori iC00b, iC17, iC22 ed iC24 </w:t>
      </w:r>
      <w:bookmarkStart w:id="3" w:name="_Hlk88068686"/>
      <w:r>
        <w:rPr>
          <w:rFonts w:cstheme="minorHAnsi"/>
          <w:color w:val="000000" w:themeColor="text1"/>
          <w:sz w:val="24"/>
        </w:rPr>
        <w:t xml:space="preserve">per la coorte 2016/2017 si può dire che risulta </w:t>
      </w:r>
      <w:r w:rsidR="00E24535">
        <w:rPr>
          <w:rFonts w:cstheme="minorHAnsi"/>
          <w:color w:val="000000" w:themeColor="text1"/>
          <w:sz w:val="24"/>
        </w:rPr>
        <w:t>più contenuto</w:t>
      </w:r>
      <w:r>
        <w:rPr>
          <w:rFonts w:cstheme="minorHAnsi"/>
          <w:color w:val="000000" w:themeColor="text1"/>
          <w:sz w:val="24"/>
        </w:rPr>
        <w:t xml:space="preserve"> il numero di studenti FC oltre il </w:t>
      </w:r>
      <w:proofErr w:type="gramStart"/>
      <w:r>
        <w:rPr>
          <w:rFonts w:cstheme="minorHAnsi"/>
          <w:color w:val="000000" w:themeColor="text1"/>
          <w:sz w:val="24"/>
        </w:rPr>
        <w:t>1°</w:t>
      </w:r>
      <w:proofErr w:type="gramEnd"/>
      <w:r>
        <w:rPr>
          <w:rFonts w:cstheme="minorHAnsi"/>
          <w:color w:val="000000" w:themeColor="text1"/>
          <w:sz w:val="24"/>
        </w:rPr>
        <w:t xml:space="preserve"> rispetto alla coorte precedente</w:t>
      </w:r>
      <w:bookmarkEnd w:id="3"/>
      <w:r>
        <w:rPr>
          <w:rFonts w:cstheme="minorHAnsi"/>
          <w:color w:val="000000" w:themeColor="text1"/>
          <w:sz w:val="24"/>
        </w:rPr>
        <w:t>, presa come esempio per la scheda di monitoraggio dell’anno scorso. Infatti</w:t>
      </w:r>
      <w:r w:rsidR="004857E3">
        <w:rPr>
          <w:rFonts w:cstheme="minorHAnsi"/>
          <w:color w:val="000000" w:themeColor="text1"/>
          <w:sz w:val="24"/>
        </w:rPr>
        <w:t xml:space="preserve">, </w:t>
      </w:r>
      <w:r w:rsidR="00E24535">
        <w:rPr>
          <w:rFonts w:cstheme="minorHAnsi"/>
          <w:color w:val="000000" w:themeColor="text1"/>
          <w:sz w:val="24"/>
        </w:rPr>
        <w:t xml:space="preserve">sui 69 </w:t>
      </w:r>
      <w:r w:rsidR="00E24535">
        <w:rPr>
          <w:rFonts w:cstheme="minorHAnsi"/>
          <w:color w:val="000000" w:themeColor="text1"/>
          <w:sz w:val="24"/>
        </w:rPr>
        <w:lastRenderedPageBreak/>
        <w:t>immatricolati puri del 2016 (iC00b) risultano: 31 gli</w:t>
      </w:r>
      <w:r w:rsidR="00CE4B44">
        <w:rPr>
          <w:rFonts w:cstheme="minorHAnsi"/>
          <w:color w:val="000000" w:themeColor="text1"/>
          <w:sz w:val="24"/>
        </w:rPr>
        <w:t xml:space="preserve"> abbandoni (</w:t>
      </w:r>
      <w:r w:rsidR="00E24535">
        <w:rPr>
          <w:rFonts w:cstheme="minorHAnsi"/>
          <w:color w:val="000000" w:themeColor="text1"/>
          <w:sz w:val="24"/>
        </w:rPr>
        <w:t>iC24, numeratore dell’anno 2019</w:t>
      </w:r>
      <w:r w:rsidR="00CE4B44">
        <w:rPr>
          <w:rFonts w:cstheme="minorHAnsi"/>
          <w:color w:val="000000" w:themeColor="text1"/>
          <w:sz w:val="24"/>
        </w:rPr>
        <w:t xml:space="preserve">), </w:t>
      </w:r>
      <w:r w:rsidR="00E24535">
        <w:rPr>
          <w:rFonts w:cstheme="minorHAnsi"/>
          <w:color w:val="000000" w:themeColor="text1"/>
          <w:sz w:val="24"/>
        </w:rPr>
        <w:t>8</w:t>
      </w:r>
      <w:r w:rsidR="00CE4B44">
        <w:rPr>
          <w:rFonts w:cstheme="minorHAnsi"/>
          <w:color w:val="000000" w:themeColor="text1"/>
          <w:sz w:val="24"/>
        </w:rPr>
        <w:t xml:space="preserve"> </w:t>
      </w:r>
      <w:r w:rsidR="00E24535">
        <w:rPr>
          <w:rFonts w:cstheme="minorHAnsi"/>
          <w:color w:val="000000" w:themeColor="text1"/>
          <w:sz w:val="24"/>
        </w:rPr>
        <w:t>i</w:t>
      </w:r>
      <w:r w:rsidR="00CE4B44">
        <w:rPr>
          <w:rFonts w:cstheme="minorHAnsi"/>
          <w:color w:val="000000" w:themeColor="text1"/>
          <w:sz w:val="24"/>
        </w:rPr>
        <w:t xml:space="preserve"> l</w:t>
      </w:r>
      <w:r w:rsidR="00552E9F">
        <w:rPr>
          <w:rFonts w:cstheme="minorHAnsi"/>
          <w:color w:val="000000" w:themeColor="text1"/>
          <w:sz w:val="24"/>
        </w:rPr>
        <w:t>aureati</w:t>
      </w:r>
      <w:r w:rsidR="004857E3">
        <w:rPr>
          <w:rFonts w:cstheme="minorHAnsi"/>
          <w:color w:val="000000" w:themeColor="text1"/>
          <w:sz w:val="24"/>
        </w:rPr>
        <w:t xml:space="preserve"> in corso</w:t>
      </w:r>
      <w:r w:rsidR="00CE4B44">
        <w:rPr>
          <w:rFonts w:cstheme="minorHAnsi"/>
          <w:color w:val="000000" w:themeColor="text1"/>
          <w:sz w:val="24"/>
        </w:rPr>
        <w:t xml:space="preserve"> (iC22</w:t>
      </w:r>
      <w:r w:rsidR="00E24535">
        <w:rPr>
          <w:rFonts w:cstheme="minorHAnsi"/>
          <w:color w:val="000000" w:themeColor="text1"/>
          <w:sz w:val="24"/>
        </w:rPr>
        <w:t>, numeratore dell’anno 2018</w:t>
      </w:r>
      <w:r w:rsidR="00CE4B44">
        <w:rPr>
          <w:rFonts w:cstheme="minorHAnsi"/>
          <w:color w:val="000000" w:themeColor="text1"/>
          <w:sz w:val="24"/>
        </w:rPr>
        <w:t xml:space="preserve">) </w:t>
      </w:r>
      <w:r w:rsidR="004857E3">
        <w:rPr>
          <w:rFonts w:cstheme="minorHAnsi"/>
          <w:color w:val="000000" w:themeColor="text1"/>
          <w:sz w:val="24"/>
        </w:rPr>
        <w:t xml:space="preserve">e </w:t>
      </w:r>
      <w:r w:rsidR="00CE4B44">
        <w:rPr>
          <w:rFonts w:cstheme="minorHAnsi"/>
          <w:color w:val="000000" w:themeColor="text1"/>
          <w:sz w:val="24"/>
        </w:rPr>
        <w:t>1</w:t>
      </w:r>
      <w:r w:rsidR="00E24535">
        <w:rPr>
          <w:rFonts w:cstheme="minorHAnsi"/>
          <w:color w:val="000000" w:themeColor="text1"/>
          <w:sz w:val="24"/>
        </w:rPr>
        <w:t>2</w:t>
      </w:r>
      <w:r w:rsidR="004857E3">
        <w:rPr>
          <w:rFonts w:cstheme="minorHAnsi"/>
          <w:color w:val="000000" w:themeColor="text1"/>
          <w:sz w:val="24"/>
        </w:rPr>
        <w:t xml:space="preserve"> dopo il </w:t>
      </w:r>
      <w:proofErr w:type="gramStart"/>
      <w:r w:rsidR="004857E3">
        <w:rPr>
          <w:rFonts w:cstheme="minorHAnsi"/>
          <w:color w:val="000000" w:themeColor="text1"/>
          <w:sz w:val="24"/>
        </w:rPr>
        <w:t>1°</w:t>
      </w:r>
      <w:proofErr w:type="gramEnd"/>
      <w:r w:rsidR="004857E3">
        <w:rPr>
          <w:rFonts w:cstheme="minorHAnsi"/>
          <w:color w:val="000000" w:themeColor="text1"/>
          <w:sz w:val="24"/>
        </w:rPr>
        <w:t xml:space="preserve"> FC</w:t>
      </w:r>
      <w:r w:rsidR="00CE4B44">
        <w:rPr>
          <w:rFonts w:cstheme="minorHAnsi"/>
          <w:color w:val="000000" w:themeColor="text1"/>
          <w:sz w:val="24"/>
        </w:rPr>
        <w:t xml:space="preserve"> (iC17</w:t>
      </w:r>
      <w:r w:rsidR="00E24535">
        <w:rPr>
          <w:rFonts w:cstheme="minorHAnsi"/>
          <w:color w:val="000000" w:themeColor="text1"/>
          <w:sz w:val="24"/>
        </w:rPr>
        <w:t>, numeratore dell’anno 2019</w:t>
      </w:r>
      <w:r w:rsidR="00552E9F">
        <w:rPr>
          <w:rFonts w:cstheme="minorHAnsi"/>
          <w:color w:val="000000" w:themeColor="text1"/>
          <w:sz w:val="24"/>
        </w:rPr>
        <w:t>)</w:t>
      </w:r>
      <w:r w:rsidR="004857E3">
        <w:rPr>
          <w:rFonts w:cstheme="minorHAnsi"/>
          <w:color w:val="000000" w:themeColor="text1"/>
          <w:sz w:val="24"/>
        </w:rPr>
        <w:t xml:space="preserve">. </w:t>
      </w:r>
      <w:r w:rsidR="00552E9F">
        <w:rPr>
          <w:rFonts w:cstheme="minorHAnsi"/>
          <w:color w:val="000000" w:themeColor="text1"/>
          <w:sz w:val="24"/>
        </w:rPr>
        <w:t xml:space="preserve">Considerando </w:t>
      </w:r>
      <w:r w:rsidR="00E24535">
        <w:rPr>
          <w:rFonts w:cstheme="minorHAnsi"/>
          <w:color w:val="000000" w:themeColor="text1"/>
          <w:sz w:val="24"/>
        </w:rPr>
        <w:t>i 31</w:t>
      </w:r>
      <w:r w:rsidR="004857E3">
        <w:rPr>
          <w:rFonts w:cstheme="minorHAnsi"/>
          <w:color w:val="000000" w:themeColor="text1"/>
          <w:sz w:val="24"/>
        </w:rPr>
        <w:t xml:space="preserve"> abbandoni</w:t>
      </w:r>
      <w:r w:rsidR="00E24535">
        <w:rPr>
          <w:rFonts w:cstheme="minorHAnsi"/>
          <w:color w:val="000000" w:themeColor="text1"/>
          <w:sz w:val="24"/>
        </w:rPr>
        <w:t xml:space="preserve"> ed i 20 laureati totali entro il </w:t>
      </w:r>
      <w:proofErr w:type="gramStart"/>
      <w:r w:rsidR="00E24535">
        <w:rPr>
          <w:rFonts w:cstheme="minorHAnsi"/>
          <w:color w:val="000000" w:themeColor="text1"/>
          <w:sz w:val="24"/>
        </w:rPr>
        <w:t>1°</w:t>
      </w:r>
      <w:proofErr w:type="gramEnd"/>
      <w:r w:rsidR="00E24535">
        <w:rPr>
          <w:rFonts w:cstheme="minorHAnsi"/>
          <w:color w:val="000000" w:themeColor="text1"/>
          <w:sz w:val="24"/>
        </w:rPr>
        <w:t xml:space="preserve"> FC</w:t>
      </w:r>
      <w:r w:rsidR="004857E3">
        <w:rPr>
          <w:rFonts w:cstheme="minorHAnsi"/>
          <w:color w:val="000000" w:themeColor="text1"/>
          <w:sz w:val="24"/>
        </w:rPr>
        <w:t xml:space="preserve">, </w:t>
      </w:r>
      <w:r w:rsidR="00CE4B44">
        <w:rPr>
          <w:rFonts w:cstheme="minorHAnsi"/>
          <w:color w:val="000000" w:themeColor="text1"/>
          <w:sz w:val="24"/>
        </w:rPr>
        <w:t xml:space="preserve">è possibile calcolare </w:t>
      </w:r>
      <w:bookmarkStart w:id="4" w:name="_Hlk88068731"/>
      <w:r w:rsidR="00CE4B44">
        <w:rPr>
          <w:rFonts w:cstheme="minorHAnsi"/>
          <w:color w:val="000000" w:themeColor="text1"/>
          <w:sz w:val="24"/>
        </w:rPr>
        <w:t xml:space="preserve">che </w:t>
      </w:r>
      <w:r w:rsidR="00E24535">
        <w:rPr>
          <w:rFonts w:cstheme="minorHAnsi"/>
          <w:color w:val="000000" w:themeColor="text1"/>
          <w:sz w:val="24"/>
        </w:rPr>
        <w:t>18 su 69</w:t>
      </w:r>
      <w:r w:rsidR="004857E3">
        <w:rPr>
          <w:rFonts w:cstheme="minorHAnsi"/>
          <w:color w:val="000000" w:themeColor="text1"/>
          <w:sz w:val="24"/>
        </w:rPr>
        <w:t xml:space="preserve"> studenti</w:t>
      </w:r>
      <w:r w:rsidR="00552E9F">
        <w:rPr>
          <w:rFonts w:cstheme="minorHAnsi"/>
          <w:color w:val="000000" w:themeColor="text1"/>
          <w:sz w:val="24"/>
        </w:rPr>
        <w:t xml:space="preserve"> </w:t>
      </w:r>
      <w:r w:rsidR="00CE4B44">
        <w:rPr>
          <w:rFonts w:cstheme="minorHAnsi"/>
          <w:color w:val="000000" w:themeColor="text1"/>
          <w:sz w:val="24"/>
        </w:rPr>
        <w:t>si trovano</w:t>
      </w:r>
      <w:r w:rsidR="00D53F1E">
        <w:rPr>
          <w:rFonts w:cstheme="minorHAnsi"/>
          <w:color w:val="000000" w:themeColor="text1"/>
          <w:sz w:val="24"/>
        </w:rPr>
        <w:t xml:space="preserve"> attualmente iscritti</w:t>
      </w:r>
      <w:r w:rsidR="00CE4B44">
        <w:rPr>
          <w:rFonts w:cstheme="minorHAnsi"/>
          <w:color w:val="000000" w:themeColor="text1"/>
          <w:sz w:val="24"/>
        </w:rPr>
        <w:t xml:space="preserve"> </w:t>
      </w:r>
      <w:r w:rsidR="004857E3">
        <w:rPr>
          <w:rFonts w:cstheme="minorHAnsi"/>
          <w:color w:val="000000" w:themeColor="text1"/>
          <w:sz w:val="24"/>
        </w:rPr>
        <w:t xml:space="preserve">oltre </w:t>
      </w:r>
      <w:r w:rsidR="00E775BC">
        <w:rPr>
          <w:rFonts w:cstheme="minorHAnsi"/>
          <w:color w:val="000000" w:themeColor="text1"/>
          <w:sz w:val="24"/>
        </w:rPr>
        <w:t>i</w:t>
      </w:r>
      <w:r w:rsidR="004857E3">
        <w:rPr>
          <w:rFonts w:cstheme="minorHAnsi"/>
          <w:color w:val="000000" w:themeColor="text1"/>
          <w:sz w:val="24"/>
        </w:rPr>
        <w:t xml:space="preserve">l 2° </w:t>
      </w:r>
      <w:r w:rsidR="00552E9F">
        <w:rPr>
          <w:rFonts w:cstheme="minorHAnsi"/>
          <w:color w:val="000000" w:themeColor="text1"/>
          <w:sz w:val="24"/>
        </w:rPr>
        <w:t xml:space="preserve">anno </w:t>
      </w:r>
      <w:r w:rsidR="004857E3">
        <w:rPr>
          <w:rFonts w:cstheme="minorHAnsi"/>
          <w:color w:val="000000" w:themeColor="text1"/>
          <w:sz w:val="24"/>
        </w:rPr>
        <w:t>FC</w:t>
      </w:r>
      <w:r w:rsidR="00E775BC">
        <w:rPr>
          <w:rFonts w:cstheme="minorHAnsi"/>
          <w:color w:val="000000" w:themeColor="text1"/>
          <w:sz w:val="24"/>
        </w:rPr>
        <w:t>.</w:t>
      </w:r>
      <w:bookmarkEnd w:id="4"/>
      <w:r w:rsidR="00E775BC">
        <w:rPr>
          <w:rFonts w:cstheme="minorHAnsi"/>
          <w:color w:val="000000" w:themeColor="text1"/>
          <w:sz w:val="24"/>
        </w:rPr>
        <w:t xml:space="preserve"> </w:t>
      </w:r>
      <w:r w:rsidR="00E24535">
        <w:rPr>
          <w:rFonts w:cstheme="minorHAnsi"/>
          <w:color w:val="000000" w:themeColor="text1"/>
          <w:sz w:val="24"/>
        </w:rPr>
        <w:t xml:space="preserve">Questo dato è inferiore a quello </w:t>
      </w:r>
      <w:r w:rsidR="00BD6EA5">
        <w:rPr>
          <w:rFonts w:cstheme="minorHAnsi"/>
          <w:color w:val="000000" w:themeColor="text1"/>
          <w:sz w:val="24"/>
        </w:rPr>
        <w:t>riscontrato sulla coorte 2015/2016, ma va comunque tenuto in debita considerazione visto che i triennali della L-27 di Bari sono i primi utenti (potenziali) della LM-54 nello stesso ateneo.</w:t>
      </w:r>
    </w:p>
    <w:p w14:paraId="77E39F02" w14:textId="77777777" w:rsidR="009179A2" w:rsidRDefault="009179A2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5E9D2AE0" w14:textId="77777777" w:rsidR="003B18F8" w:rsidRPr="00CF3F7A" w:rsidRDefault="00BD2A18" w:rsidP="00B15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CF3F7A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Soddisfazione e Occupabilità</w:t>
      </w:r>
    </w:p>
    <w:p w14:paraId="09668430" w14:textId="0CD18992" w:rsidR="00BD2A18" w:rsidRDefault="007A7D82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L</w:t>
      </w:r>
      <w:r w:rsidR="00572AB9">
        <w:rPr>
          <w:rFonts w:cstheme="minorHAnsi"/>
          <w:color w:val="000000" w:themeColor="text1"/>
          <w:sz w:val="24"/>
        </w:rPr>
        <w:t xml:space="preserve">a </w:t>
      </w:r>
      <w:r w:rsidR="00C86339">
        <w:rPr>
          <w:rFonts w:cstheme="minorHAnsi"/>
          <w:color w:val="000000" w:themeColor="text1"/>
          <w:sz w:val="24"/>
        </w:rPr>
        <w:t>p</w:t>
      </w:r>
      <w:r w:rsidR="0090160B" w:rsidRPr="0090160B">
        <w:rPr>
          <w:rFonts w:cstheme="minorHAnsi"/>
          <w:color w:val="000000" w:themeColor="text1"/>
          <w:sz w:val="24"/>
        </w:rPr>
        <w:t>ercentuale di laureandi complessivamente</w:t>
      </w:r>
      <w:r w:rsidR="0090160B">
        <w:rPr>
          <w:rFonts w:cstheme="minorHAnsi"/>
          <w:color w:val="000000" w:themeColor="text1"/>
          <w:sz w:val="24"/>
        </w:rPr>
        <w:t xml:space="preserve"> </w:t>
      </w:r>
      <w:r w:rsidR="0090160B" w:rsidRPr="0090160B">
        <w:rPr>
          <w:rFonts w:cstheme="minorHAnsi"/>
          <w:color w:val="000000" w:themeColor="text1"/>
          <w:sz w:val="24"/>
        </w:rPr>
        <w:t xml:space="preserve">soddisfatti del </w:t>
      </w:r>
      <w:proofErr w:type="spellStart"/>
      <w:r w:rsidR="0090160B" w:rsidRPr="0090160B">
        <w:rPr>
          <w:rFonts w:cstheme="minorHAnsi"/>
          <w:color w:val="000000" w:themeColor="text1"/>
          <w:sz w:val="24"/>
        </w:rPr>
        <w:t>CdS</w:t>
      </w:r>
      <w:proofErr w:type="spellEnd"/>
      <w:r w:rsidR="00572AB9">
        <w:rPr>
          <w:rFonts w:cstheme="minorHAnsi"/>
          <w:color w:val="000000" w:themeColor="text1"/>
          <w:sz w:val="24"/>
        </w:rPr>
        <w:t xml:space="preserve"> </w:t>
      </w:r>
      <w:r w:rsidR="00A13C06">
        <w:rPr>
          <w:rFonts w:cstheme="minorHAnsi"/>
          <w:color w:val="000000" w:themeColor="text1"/>
          <w:sz w:val="24"/>
        </w:rPr>
        <w:t>appare</w:t>
      </w:r>
      <w:r w:rsidR="00C86339">
        <w:rPr>
          <w:rFonts w:cstheme="minorHAnsi"/>
          <w:color w:val="000000" w:themeColor="text1"/>
          <w:sz w:val="24"/>
        </w:rPr>
        <w:t xml:space="preserve"> in linea con </w:t>
      </w:r>
      <w:r w:rsidR="00D52EDE">
        <w:rPr>
          <w:rFonts w:cstheme="minorHAnsi"/>
          <w:color w:val="000000" w:themeColor="text1"/>
          <w:sz w:val="24"/>
        </w:rPr>
        <w:t>la media</w:t>
      </w:r>
      <w:r w:rsidR="00C86339">
        <w:rPr>
          <w:rFonts w:cstheme="minorHAnsi"/>
          <w:color w:val="000000" w:themeColor="text1"/>
          <w:sz w:val="24"/>
        </w:rPr>
        <w:t xml:space="preserve"> nazionale (iC2</w:t>
      </w:r>
      <w:r>
        <w:rPr>
          <w:rFonts w:cstheme="minorHAnsi"/>
          <w:color w:val="000000" w:themeColor="text1"/>
          <w:sz w:val="24"/>
        </w:rPr>
        <w:t xml:space="preserve">5). </w:t>
      </w:r>
    </w:p>
    <w:p w14:paraId="3CE9CD3A" w14:textId="37B1786F" w:rsidR="00FC41E2" w:rsidRDefault="00FC41E2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E661E81" w14:textId="701E75BF" w:rsidR="00091F84" w:rsidRDefault="00572AB9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572AB9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6D8B2518" wp14:editId="40373363">
            <wp:extent cx="6012000" cy="908226"/>
            <wp:effectExtent l="0" t="0" r="8255" b="635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90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78C2" w14:textId="5E23B46B" w:rsidR="00091F84" w:rsidRDefault="00572AB9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 w:rsidRPr="00572AB9">
        <w:rPr>
          <w:rFonts w:cstheme="minorHAnsi"/>
          <w:noProof/>
          <w:color w:val="000000" w:themeColor="text1"/>
          <w:sz w:val="24"/>
        </w:rPr>
        <w:drawing>
          <wp:inline distT="0" distB="0" distL="0" distR="0" wp14:anchorId="268B7070" wp14:editId="27F6F499">
            <wp:extent cx="6012000" cy="594462"/>
            <wp:effectExtent l="0" t="0" r="825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59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C40F" w14:textId="3150A9B5" w:rsidR="00091F84" w:rsidRDefault="00091F84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7E8B5094" w14:textId="6C4FC0B5" w:rsidR="00BE1AEB" w:rsidRDefault="00572AB9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Tale dato, se confrontato con il valore assunto dall’indicatore iC18 (% di laureati </w:t>
      </w:r>
      <w:r w:rsidR="00CE0CE0">
        <w:rPr>
          <w:rFonts w:cstheme="minorHAnsi"/>
          <w:color w:val="000000" w:themeColor="text1"/>
          <w:sz w:val="24"/>
        </w:rPr>
        <w:t>che</w:t>
      </w:r>
      <w:r w:rsidR="00BE1AEB">
        <w:rPr>
          <w:rFonts w:cstheme="minorHAnsi"/>
          <w:color w:val="000000" w:themeColor="text1"/>
          <w:sz w:val="24"/>
        </w:rPr>
        <w:t xml:space="preserve"> si iscriverebbe</w:t>
      </w:r>
      <w:r w:rsidR="00CE0CE0">
        <w:rPr>
          <w:rFonts w:cstheme="minorHAnsi"/>
          <w:color w:val="000000" w:themeColor="text1"/>
          <w:sz w:val="24"/>
        </w:rPr>
        <w:t>ro</w:t>
      </w:r>
      <w:r w:rsidR="00BE1AEB">
        <w:rPr>
          <w:rFonts w:cstheme="minorHAnsi"/>
          <w:color w:val="000000" w:themeColor="text1"/>
          <w:sz w:val="24"/>
        </w:rPr>
        <w:t xml:space="preserve"> nuovamente allo stesso </w:t>
      </w:r>
      <w:proofErr w:type="spellStart"/>
      <w:r w:rsidR="00BE1AEB">
        <w:rPr>
          <w:rFonts w:cstheme="minorHAnsi"/>
          <w:color w:val="000000" w:themeColor="text1"/>
          <w:sz w:val="24"/>
        </w:rPr>
        <w:t>CdS</w:t>
      </w:r>
      <w:proofErr w:type="spellEnd"/>
      <w:r w:rsidR="00CE0CE0">
        <w:rPr>
          <w:rFonts w:cstheme="minorHAnsi"/>
          <w:color w:val="000000" w:themeColor="text1"/>
          <w:sz w:val="24"/>
        </w:rPr>
        <w:t>)</w:t>
      </w:r>
      <w:r w:rsidR="00BA0517">
        <w:rPr>
          <w:rFonts w:cstheme="minorHAnsi"/>
          <w:color w:val="000000" w:themeColor="text1"/>
          <w:sz w:val="24"/>
        </w:rPr>
        <w:t xml:space="preserve">, </w:t>
      </w:r>
      <w:r w:rsidR="00CE0CE0">
        <w:rPr>
          <w:rFonts w:cstheme="minorHAnsi"/>
          <w:color w:val="000000" w:themeColor="text1"/>
          <w:sz w:val="24"/>
        </w:rPr>
        <w:t>risulta meno incoraggiante, dato che quest’ultimo risente della bassa occupabilità registrata in genere dopo il solo percorso triennale</w:t>
      </w:r>
      <w:r w:rsidR="00BA0517">
        <w:rPr>
          <w:rFonts w:cstheme="minorHAnsi"/>
          <w:color w:val="000000" w:themeColor="text1"/>
          <w:sz w:val="24"/>
        </w:rPr>
        <w:t>.</w:t>
      </w:r>
    </w:p>
    <w:p w14:paraId="56F96209" w14:textId="77777777" w:rsidR="00A216E9" w:rsidRDefault="00A216E9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7072EEDA" w14:textId="77777777" w:rsidR="00FC41E2" w:rsidRPr="00CF3F7A" w:rsidRDefault="00FC41E2" w:rsidP="009016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u w:val="single"/>
        </w:rPr>
      </w:pPr>
      <w:r w:rsidRPr="00CF3F7A">
        <w:rPr>
          <w:rFonts w:cstheme="minorHAnsi"/>
          <w:i/>
          <w:color w:val="000000" w:themeColor="text1"/>
          <w:sz w:val="24"/>
          <w:u w:val="single"/>
        </w:rPr>
        <w:t>Indicatori di Approfondimento per la Sperimentazione - Consistenza e Qualificazione del corpo docente</w:t>
      </w:r>
    </w:p>
    <w:p w14:paraId="7692689C" w14:textId="33B197EE" w:rsidR="00FC41E2" w:rsidRDefault="00CE0CE0" w:rsidP="00417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G</w:t>
      </w:r>
      <w:r w:rsidR="00FC41E2">
        <w:rPr>
          <w:rFonts w:cstheme="minorHAnsi"/>
          <w:color w:val="000000" w:themeColor="text1"/>
          <w:sz w:val="24"/>
        </w:rPr>
        <w:t xml:space="preserve">li indicatori </w:t>
      </w:r>
      <w:r>
        <w:rPr>
          <w:rFonts w:cstheme="minorHAnsi"/>
          <w:color w:val="000000" w:themeColor="text1"/>
          <w:sz w:val="24"/>
        </w:rPr>
        <w:t>iC27 eiC28 relativi al</w:t>
      </w:r>
      <w:r w:rsidR="00417A01">
        <w:rPr>
          <w:rFonts w:cstheme="minorHAnsi"/>
          <w:color w:val="000000" w:themeColor="text1"/>
          <w:sz w:val="24"/>
        </w:rPr>
        <w:t xml:space="preserve"> r</w:t>
      </w:r>
      <w:r w:rsidR="00417A01" w:rsidRPr="00417A01">
        <w:rPr>
          <w:rFonts w:cstheme="minorHAnsi"/>
          <w:color w:val="000000" w:themeColor="text1"/>
          <w:sz w:val="24"/>
        </w:rPr>
        <w:t xml:space="preserve">apporto studenti iscritti/docenti </w:t>
      </w:r>
      <w:r w:rsidR="00417A01">
        <w:rPr>
          <w:rFonts w:cstheme="minorHAnsi"/>
          <w:color w:val="000000" w:themeColor="text1"/>
          <w:sz w:val="24"/>
        </w:rPr>
        <w:t xml:space="preserve">(inclusi quelli del I anno) </w:t>
      </w:r>
      <w:r>
        <w:rPr>
          <w:rFonts w:cstheme="minorHAnsi"/>
          <w:color w:val="000000" w:themeColor="text1"/>
          <w:sz w:val="24"/>
        </w:rPr>
        <w:t>mostrano dati</w:t>
      </w:r>
      <w:r w:rsidR="00417A01">
        <w:rPr>
          <w:rFonts w:cstheme="minorHAnsi"/>
          <w:color w:val="000000" w:themeColor="text1"/>
          <w:sz w:val="24"/>
        </w:rPr>
        <w:t xml:space="preserve"> </w:t>
      </w:r>
      <w:r>
        <w:rPr>
          <w:rFonts w:cstheme="minorHAnsi"/>
          <w:color w:val="000000" w:themeColor="text1"/>
          <w:sz w:val="24"/>
        </w:rPr>
        <w:t>sostanzialmente</w:t>
      </w:r>
      <w:r w:rsidR="00417A01">
        <w:rPr>
          <w:rFonts w:cstheme="minorHAnsi"/>
          <w:color w:val="000000" w:themeColor="text1"/>
          <w:sz w:val="24"/>
        </w:rPr>
        <w:t xml:space="preserve"> in linea con i dati nazionali</w:t>
      </w:r>
      <w:r>
        <w:rPr>
          <w:rFonts w:cstheme="minorHAnsi"/>
          <w:color w:val="000000" w:themeColor="text1"/>
          <w:sz w:val="24"/>
        </w:rPr>
        <w:t xml:space="preserve"> e di area</w:t>
      </w:r>
      <w:r w:rsidR="00417A01">
        <w:rPr>
          <w:rFonts w:cstheme="minorHAnsi"/>
          <w:color w:val="000000" w:themeColor="text1"/>
          <w:sz w:val="24"/>
        </w:rPr>
        <w:t>.</w:t>
      </w:r>
    </w:p>
    <w:p w14:paraId="69C42E0B" w14:textId="77777777" w:rsidR="00016901" w:rsidRDefault="00016901" w:rsidP="00417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26274220" w14:textId="77777777" w:rsidR="005E26D3" w:rsidRDefault="005E26D3" w:rsidP="00417A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3B22A5F7" w14:textId="04A8A5C3" w:rsidR="00016901" w:rsidRDefault="001218EB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  <w:r w:rsidRPr="00DB6B4E">
        <w:rPr>
          <w:rFonts w:cstheme="minorHAnsi"/>
          <w:color w:val="000000" w:themeColor="text1"/>
          <w:sz w:val="24"/>
          <w:u w:val="single"/>
        </w:rPr>
        <w:t>Riepilogo scheda di monitoraggio annuale (SMA) L-27-</w:t>
      </w:r>
      <w:r w:rsidR="00F9387F">
        <w:rPr>
          <w:rFonts w:cstheme="minorHAnsi"/>
          <w:color w:val="000000" w:themeColor="text1"/>
          <w:sz w:val="24"/>
          <w:u w:val="single"/>
        </w:rPr>
        <w:t>202</w:t>
      </w:r>
      <w:r w:rsidR="00CE0CE0">
        <w:rPr>
          <w:rFonts w:cstheme="minorHAnsi"/>
          <w:color w:val="000000" w:themeColor="text1"/>
          <w:sz w:val="24"/>
          <w:u w:val="single"/>
        </w:rPr>
        <w:t>1</w:t>
      </w:r>
      <w:r w:rsidR="00743FF0">
        <w:rPr>
          <w:rFonts w:cstheme="minorHAnsi"/>
          <w:color w:val="000000" w:themeColor="text1"/>
          <w:sz w:val="24"/>
          <w:u w:val="single"/>
        </w:rPr>
        <w:t xml:space="preserve"> (commento </w:t>
      </w:r>
      <w:r w:rsidR="00BF1EDC">
        <w:rPr>
          <w:rFonts w:cstheme="minorHAnsi"/>
          <w:color w:val="000000" w:themeColor="text1"/>
          <w:sz w:val="24"/>
          <w:u w:val="single"/>
        </w:rPr>
        <w:t>da inserire</w:t>
      </w:r>
      <w:r w:rsidR="00743FF0">
        <w:rPr>
          <w:rFonts w:cstheme="minorHAnsi"/>
          <w:color w:val="000000" w:themeColor="text1"/>
          <w:sz w:val="24"/>
          <w:u w:val="single"/>
        </w:rPr>
        <w:t xml:space="preserve"> </w:t>
      </w:r>
      <w:r w:rsidR="00BF1EDC">
        <w:rPr>
          <w:rFonts w:cstheme="minorHAnsi"/>
          <w:color w:val="000000" w:themeColor="text1"/>
          <w:sz w:val="24"/>
          <w:u w:val="single"/>
        </w:rPr>
        <w:t>nel</w:t>
      </w:r>
      <w:r w:rsidR="00743FF0">
        <w:rPr>
          <w:rFonts w:cstheme="minorHAnsi"/>
          <w:color w:val="000000" w:themeColor="text1"/>
          <w:sz w:val="24"/>
          <w:u w:val="single"/>
        </w:rPr>
        <w:t>la scheda SUA)</w:t>
      </w:r>
      <w:r w:rsidRPr="00DB6B4E">
        <w:rPr>
          <w:rFonts w:cstheme="minorHAnsi"/>
          <w:color w:val="000000" w:themeColor="text1"/>
          <w:sz w:val="24"/>
          <w:u w:val="single"/>
        </w:rPr>
        <w:t>.</w:t>
      </w:r>
    </w:p>
    <w:p w14:paraId="3B45DA09" w14:textId="77777777" w:rsidR="00743FF0" w:rsidRPr="00DB6B4E" w:rsidRDefault="00743FF0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u w:val="single"/>
        </w:rPr>
      </w:pPr>
    </w:p>
    <w:p w14:paraId="01CA54EE" w14:textId="698625DF" w:rsidR="001218EB" w:rsidRDefault="009D1BB3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L’analisi dei 28 indicatori SMA </w:t>
      </w:r>
      <w:r w:rsidR="00217ABB">
        <w:rPr>
          <w:rFonts w:cstheme="minorHAnsi"/>
          <w:color w:val="000000" w:themeColor="text1"/>
          <w:sz w:val="24"/>
        </w:rPr>
        <w:t>prende in considerazione il</w:t>
      </w:r>
      <w:r>
        <w:rPr>
          <w:rFonts w:cstheme="minorHAnsi"/>
          <w:color w:val="000000" w:themeColor="text1"/>
          <w:sz w:val="24"/>
        </w:rPr>
        <w:t xml:space="preserve"> </w:t>
      </w:r>
      <w:r w:rsidR="009D6CB0">
        <w:rPr>
          <w:rFonts w:cstheme="minorHAnsi"/>
          <w:color w:val="000000" w:themeColor="text1"/>
          <w:sz w:val="24"/>
        </w:rPr>
        <w:t>quinquennio</w:t>
      </w:r>
      <w:r>
        <w:rPr>
          <w:rFonts w:cstheme="minorHAnsi"/>
          <w:color w:val="000000" w:themeColor="text1"/>
          <w:sz w:val="24"/>
        </w:rPr>
        <w:t xml:space="preserve"> </w:t>
      </w:r>
      <w:r w:rsidR="00F9387F">
        <w:rPr>
          <w:rFonts w:cstheme="minorHAnsi"/>
          <w:color w:val="000000" w:themeColor="text1"/>
          <w:sz w:val="24"/>
        </w:rPr>
        <w:t>201</w:t>
      </w:r>
      <w:r w:rsidR="00CE0CE0">
        <w:rPr>
          <w:rFonts w:cstheme="minorHAnsi"/>
          <w:color w:val="000000" w:themeColor="text1"/>
          <w:sz w:val="24"/>
        </w:rPr>
        <w:t>6</w:t>
      </w:r>
      <w:r>
        <w:rPr>
          <w:rFonts w:cstheme="minorHAnsi"/>
          <w:color w:val="000000" w:themeColor="text1"/>
          <w:sz w:val="24"/>
        </w:rPr>
        <w:t>-</w:t>
      </w:r>
      <w:r w:rsidR="009D6CB0">
        <w:rPr>
          <w:rFonts w:cstheme="minorHAnsi"/>
          <w:color w:val="000000" w:themeColor="text1"/>
          <w:sz w:val="24"/>
        </w:rPr>
        <w:t>20</w:t>
      </w:r>
      <w:r w:rsidR="00CE0CE0">
        <w:rPr>
          <w:rFonts w:cstheme="minorHAnsi"/>
          <w:color w:val="000000" w:themeColor="text1"/>
          <w:sz w:val="24"/>
        </w:rPr>
        <w:t>20</w:t>
      </w:r>
      <w:r>
        <w:rPr>
          <w:rFonts w:cstheme="minorHAnsi"/>
          <w:color w:val="000000" w:themeColor="text1"/>
          <w:sz w:val="24"/>
        </w:rPr>
        <w:t xml:space="preserve"> </w:t>
      </w:r>
      <w:r w:rsidR="00217ABB">
        <w:rPr>
          <w:rFonts w:cstheme="minorHAnsi"/>
          <w:color w:val="000000" w:themeColor="text1"/>
          <w:sz w:val="24"/>
        </w:rPr>
        <w:t xml:space="preserve">ed </w:t>
      </w:r>
      <w:r>
        <w:rPr>
          <w:rFonts w:cstheme="minorHAnsi"/>
          <w:color w:val="000000" w:themeColor="text1"/>
          <w:sz w:val="24"/>
        </w:rPr>
        <w:t xml:space="preserve">evidenzia </w:t>
      </w:r>
      <w:r w:rsidR="0069549B">
        <w:rPr>
          <w:rFonts w:cstheme="minorHAnsi"/>
          <w:color w:val="000000" w:themeColor="text1"/>
          <w:sz w:val="24"/>
        </w:rPr>
        <w:t xml:space="preserve">un andamento </w:t>
      </w:r>
      <w:r w:rsidR="0069549B" w:rsidRPr="00ED38BD">
        <w:rPr>
          <w:rFonts w:cstheme="minorHAnsi"/>
          <w:color w:val="000000" w:themeColor="text1"/>
          <w:sz w:val="24"/>
        </w:rPr>
        <w:t xml:space="preserve">sostanzialmente in linea con gli anni precedenti. </w:t>
      </w:r>
      <w:r w:rsidR="005E5D84" w:rsidRPr="00ED38BD">
        <w:rPr>
          <w:rFonts w:cstheme="minorHAnsi"/>
          <w:color w:val="000000" w:themeColor="text1"/>
          <w:sz w:val="24"/>
        </w:rPr>
        <w:t xml:space="preserve">Tuttavia, alcuni indicatori relativi all’ultimo anno monitorato (ovvero 2020) hanno probabilmente risentito della situazione contingente. </w:t>
      </w:r>
      <w:r w:rsidR="00B55C27" w:rsidRPr="00ED38BD">
        <w:rPr>
          <w:rFonts w:cstheme="minorHAnsi"/>
          <w:color w:val="000000" w:themeColor="text1"/>
          <w:sz w:val="24"/>
        </w:rPr>
        <w:t>Qui</w:t>
      </w:r>
      <w:r w:rsidR="00B55C27">
        <w:rPr>
          <w:rFonts w:cstheme="minorHAnsi"/>
          <w:color w:val="000000" w:themeColor="text1"/>
          <w:sz w:val="24"/>
        </w:rPr>
        <w:t xml:space="preserve"> di seguito </w:t>
      </w:r>
      <w:r w:rsidR="000B1253">
        <w:rPr>
          <w:rFonts w:cstheme="minorHAnsi"/>
          <w:color w:val="000000" w:themeColor="text1"/>
          <w:sz w:val="24"/>
        </w:rPr>
        <w:t xml:space="preserve">sono riassunte le </w:t>
      </w:r>
      <w:r w:rsidR="00217ABB">
        <w:rPr>
          <w:rFonts w:cstheme="minorHAnsi"/>
          <w:color w:val="000000" w:themeColor="text1"/>
          <w:sz w:val="24"/>
        </w:rPr>
        <w:t xml:space="preserve">note statistiche salienti, le </w:t>
      </w:r>
      <w:r w:rsidR="000B1253">
        <w:rPr>
          <w:rFonts w:cstheme="minorHAnsi"/>
          <w:color w:val="000000" w:themeColor="text1"/>
          <w:sz w:val="24"/>
        </w:rPr>
        <w:t>criticità</w:t>
      </w:r>
      <w:r w:rsidR="008A7FBA">
        <w:rPr>
          <w:rFonts w:cstheme="minorHAnsi"/>
          <w:color w:val="000000" w:themeColor="text1"/>
          <w:sz w:val="24"/>
        </w:rPr>
        <w:t>,</w:t>
      </w:r>
      <w:r w:rsidR="000B1253">
        <w:rPr>
          <w:rFonts w:cstheme="minorHAnsi"/>
          <w:color w:val="000000" w:themeColor="text1"/>
          <w:sz w:val="24"/>
        </w:rPr>
        <w:t xml:space="preserve"> le azioni </w:t>
      </w:r>
      <w:r w:rsidR="00F9387F">
        <w:rPr>
          <w:rFonts w:cstheme="minorHAnsi"/>
          <w:color w:val="000000" w:themeColor="text1"/>
          <w:sz w:val="24"/>
        </w:rPr>
        <w:t>avviate</w:t>
      </w:r>
      <w:r w:rsidR="000B1253">
        <w:rPr>
          <w:rFonts w:cstheme="minorHAnsi"/>
          <w:color w:val="000000" w:themeColor="text1"/>
          <w:sz w:val="24"/>
        </w:rPr>
        <w:t xml:space="preserve"> per fronteggiarle</w:t>
      </w:r>
      <w:r w:rsidR="008A7FBA">
        <w:rPr>
          <w:rFonts w:cstheme="minorHAnsi"/>
          <w:color w:val="000000" w:themeColor="text1"/>
          <w:sz w:val="24"/>
        </w:rPr>
        <w:t xml:space="preserve"> ed i risultati ottenuti</w:t>
      </w:r>
      <w:r w:rsidR="000B1253">
        <w:rPr>
          <w:rFonts w:cstheme="minorHAnsi"/>
          <w:color w:val="000000" w:themeColor="text1"/>
          <w:sz w:val="24"/>
        </w:rPr>
        <w:t>:</w:t>
      </w:r>
    </w:p>
    <w:p w14:paraId="4A28D0C7" w14:textId="77777777" w:rsidR="00AE2A2C" w:rsidRDefault="00AE2A2C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</w:rPr>
      </w:pPr>
    </w:p>
    <w:p w14:paraId="0789BF5F" w14:textId="7D0A5324" w:rsidR="00867A72" w:rsidRDefault="00AE2A2C" w:rsidP="00867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i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1. </w:t>
      </w:r>
      <w:r w:rsidR="00217ABB" w:rsidRPr="00217ABB">
        <w:rPr>
          <w:rFonts w:cstheme="minorHAnsi"/>
          <w:b/>
          <w:bCs/>
          <w:i/>
          <w:iCs/>
          <w:color w:val="000000" w:themeColor="text1"/>
          <w:sz w:val="24"/>
          <w:u w:val="single"/>
        </w:rPr>
        <w:t>Immatricolati</w:t>
      </w:r>
      <w:r w:rsidR="00217ABB">
        <w:rPr>
          <w:rFonts w:cstheme="minorHAnsi"/>
          <w:b/>
          <w:bCs/>
          <w:i/>
          <w:iCs/>
          <w:color w:val="000000" w:themeColor="text1"/>
          <w:sz w:val="24"/>
          <w:u w:val="single"/>
        </w:rPr>
        <w:t xml:space="preserve"> puri</w:t>
      </w:r>
      <w:r w:rsidR="00217ABB">
        <w:rPr>
          <w:rFonts w:cstheme="minorHAnsi"/>
          <w:color w:val="000000" w:themeColor="text1"/>
          <w:sz w:val="24"/>
        </w:rPr>
        <w:t xml:space="preserve">: </w:t>
      </w:r>
      <w:r w:rsidR="005E5D84">
        <w:rPr>
          <w:rFonts w:cstheme="minorHAnsi"/>
          <w:color w:val="000000" w:themeColor="text1"/>
          <w:sz w:val="24"/>
        </w:rPr>
        <w:t xml:space="preserve">dopo la crescita di questo dato </w:t>
      </w:r>
      <w:r w:rsidR="008A7FBA">
        <w:rPr>
          <w:rFonts w:cstheme="minorHAnsi"/>
          <w:color w:val="000000" w:themeColor="text1"/>
          <w:sz w:val="24"/>
        </w:rPr>
        <w:t>nel 2018 e</w:t>
      </w:r>
      <w:r w:rsidR="005E5D84">
        <w:rPr>
          <w:rFonts w:cstheme="minorHAnsi"/>
          <w:color w:val="000000" w:themeColor="text1"/>
          <w:sz w:val="24"/>
        </w:rPr>
        <w:t xml:space="preserve"> </w:t>
      </w:r>
      <w:r w:rsidR="00CC4080">
        <w:rPr>
          <w:rFonts w:cstheme="minorHAnsi"/>
          <w:color w:val="000000" w:themeColor="text1"/>
          <w:sz w:val="24"/>
        </w:rPr>
        <w:t>nel 2019</w:t>
      </w:r>
      <w:r w:rsidR="005E5D84">
        <w:rPr>
          <w:rFonts w:cstheme="minorHAnsi"/>
          <w:color w:val="000000" w:themeColor="text1"/>
          <w:sz w:val="24"/>
        </w:rPr>
        <w:t xml:space="preserve"> rispetto al 2017, nel 2020 esso è pari a 56</w:t>
      </w:r>
      <w:r w:rsidR="00217ABB">
        <w:rPr>
          <w:rFonts w:cstheme="minorHAnsi"/>
          <w:color w:val="000000" w:themeColor="text1"/>
          <w:sz w:val="24"/>
        </w:rPr>
        <w:t xml:space="preserve">, </w:t>
      </w:r>
      <w:r w:rsidR="005E5D84">
        <w:rPr>
          <w:rFonts w:cstheme="minorHAnsi"/>
          <w:color w:val="000000" w:themeColor="text1"/>
          <w:sz w:val="24"/>
        </w:rPr>
        <w:t>ad indicare un forte impatto della pandemia sul</w:t>
      </w:r>
      <w:r w:rsidR="00566C27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="00566C27">
        <w:rPr>
          <w:rFonts w:cstheme="minorHAnsi"/>
          <w:color w:val="000000" w:themeColor="text1"/>
          <w:sz w:val="24"/>
        </w:rPr>
        <w:t>CdS</w:t>
      </w:r>
      <w:proofErr w:type="spellEnd"/>
      <w:r w:rsidR="00217ABB">
        <w:rPr>
          <w:rFonts w:cstheme="minorHAnsi"/>
          <w:color w:val="000000" w:themeColor="text1"/>
          <w:sz w:val="24"/>
        </w:rPr>
        <w:t>.</w:t>
      </w:r>
      <w:r w:rsidR="00AF4380">
        <w:rPr>
          <w:rFonts w:cstheme="minorHAnsi"/>
          <w:color w:val="000000" w:themeColor="text1"/>
          <w:sz w:val="24"/>
        </w:rPr>
        <w:t xml:space="preserve"> Per contrastare tale decremento, a partire dall’AA </w:t>
      </w:r>
      <w:r w:rsidR="007B4432">
        <w:rPr>
          <w:rFonts w:cstheme="minorHAnsi"/>
          <w:color w:val="000000" w:themeColor="text1"/>
          <w:sz w:val="24"/>
        </w:rPr>
        <w:t>2021</w:t>
      </w:r>
      <w:r w:rsidR="00AF4380">
        <w:rPr>
          <w:rFonts w:cstheme="minorHAnsi"/>
          <w:color w:val="000000" w:themeColor="text1"/>
          <w:sz w:val="24"/>
        </w:rPr>
        <w:t xml:space="preserve">/2022 l’accesso al </w:t>
      </w:r>
      <w:proofErr w:type="spellStart"/>
      <w:r w:rsidR="00AF4380">
        <w:rPr>
          <w:rFonts w:cstheme="minorHAnsi"/>
          <w:color w:val="000000" w:themeColor="text1"/>
          <w:sz w:val="24"/>
        </w:rPr>
        <w:t>CdS</w:t>
      </w:r>
      <w:proofErr w:type="spellEnd"/>
      <w:r w:rsidR="00AF4380">
        <w:rPr>
          <w:rFonts w:cstheme="minorHAnsi"/>
          <w:color w:val="000000" w:themeColor="text1"/>
          <w:sz w:val="24"/>
        </w:rPr>
        <w:t xml:space="preserve"> </w:t>
      </w:r>
      <w:r w:rsidR="007B4432">
        <w:rPr>
          <w:rFonts w:cstheme="minorHAnsi"/>
          <w:color w:val="000000" w:themeColor="text1"/>
          <w:sz w:val="24"/>
        </w:rPr>
        <w:t xml:space="preserve">è stato agevolato rimuovendo il </w:t>
      </w:r>
      <w:r w:rsidR="00AF4380">
        <w:rPr>
          <w:rFonts w:cstheme="minorHAnsi"/>
          <w:color w:val="000000" w:themeColor="text1"/>
          <w:sz w:val="24"/>
        </w:rPr>
        <w:t xml:space="preserve">test di ingresso </w:t>
      </w:r>
      <w:r w:rsidR="007B4432">
        <w:rPr>
          <w:rFonts w:cstheme="minorHAnsi"/>
          <w:color w:val="000000" w:themeColor="text1"/>
          <w:sz w:val="24"/>
        </w:rPr>
        <w:t xml:space="preserve">e adottando il numero </w:t>
      </w:r>
      <w:r w:rsidR="007B4432" w:rsidRPr="00ED38BD">
        <w:rPr>
          <w:rFonts w:cstheme="minorHAnsi"/>
          <w:color w:val="000000" w:themeColor="text1"/>
          <w:sz w:val="24"/>
        </w:rPr>
        <w:t xml:space="preserve">sostenibile </w:t>
      </w:r>
      <w:r w:rsidR="00AF4380" w:rsidRPr="00ED38BD">
        <w:rPr>
          <w:rFonts w:cstheme="minorHAnsi"/>
          <w:color w:val="000000" w:themeColor="text1"/>
          <w:sz w:val="24"/>
        </w:rPr>
        <w:t xml:space="preserve">di 110 </w:t>
      </w:r>
      <w:r w:rsidR="007B4432" w:rsidRPr="00ED38BD">
        <w:rPr>
          <w:rFonts w:cstheme="minorHAnsi"/>
          <w:color w:val="000000" w:themeColor="text1"/>
          <w:sz w:val="24"/>
        </w:rPr>
        <w:t xml:space="preserve">posti </w:t>
      </w:r>
      <w:r w:rsidR="00AF4380" w:rsidRPr="00ED38BD">
        <w:rPr>
          <w:rFonts w:cstheme="minorHAnsi"/>
          <w:color w:val="000000" w:themeColor="text1"/>
          <w:sz w:val="24"/>
        </w:rPr>
        <w:t>(inclusi</w:t>
      </w:r>
      <w:r w:rsidR="00AF4380">
        <w:rPr>
          <w:rFonts w:cstheme="minorHAnsi"/>
          <w:color w:val="000000" w:themeColor="text1"/>
          <w:sz w:val="24"/>
        </w:rPr>
        <w:t xml:space="preserve"> i 5 per extra-comunitari e 5 per progetto Marco Polo).</w:t>
      </w:r>
      <w:r w:rsidR="00867A72" w:rsidRPr="00867A72">
        <w:rPr>
          <w:rFonts w:cstheme="minorHAnsi"/>
          <w:bCs/>
          <w:i/>
          <w:color w:val="000000" w:themeColor="text1"/>
          <w:sz w:val="24"/>
        </w:rPr>
        <w:t xml:space="preserve"> </w:t>
      </w:r>
    </w:p>
    <w:p w14:paraId="7465AC76" w14:textId="4BF821DA" w:rsidR="00217ABB" w:rsidRDefault="00867A72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bCs/>
          <w:i/>
          <w:color w:val="000000" w:themeColor="text1"/>
          <w:sz w:val="24"/>
        </w:rPr>
        <w:t>2</w:t>
      </w:r>
      <w:r w:rsidRPr="00DF0275">
        <w:rPr>
          <w:rFonts w:cstheme="minorHAnsi"/>
          <w:bCs/>
          <w:i/>
          <w:color w:val="000000" w:themeColor="text1"/>
          <w:sz w:val="24"/>
        </w:rPr>
        <w:t>.</w:t>
      </w:r>
      <w:r w:rsidRPr="00DF0275">
        <w:rPr>
          <w:rFonts w:cstheme="minorHAnsi"/>
          <w:b/>
          <w:i/>
          <w:color w:val="000000" w:themeColor="text1"/>
          <w:sz w:val="24"/>
        </w:rPr>
        <w:t xml:space="preserve"> </w:t>
      </w:r>
      <w:r w:rsidRPr="00EC144A">
        <w:rPr>
          <w:rFonts w:cstheme="minorHAnsi"/>
          <w:b/>
          <w:i/>
          <w:color w:val="000000" w:themeColor="text1"/>
          <w:sz w:val="24"/>
          <w:u w:val="single"/>
        </w:rPr>
        <w:t>Internazionalizzazione</w:t>
      </w:r>
      <w:r>
        <w:rPr>
          <w:rFonts w:cstheme="minorHAnsi"/>
          <w:color w:val="000000" w:themeColor="text1"/>
          <w:sz w:val="24"/>
        </w:rPr>
        <w:t xml:space="preserve">: </w:t>
      </w:r>
      <w:r w:rsidR="00814C0B">
        <w:rPr>
          <w:rFonts w:cstheme="minorHAnsi"/>
          <w:color w:val="000000" w:themeColor="text1"/>
          <w:sz w:val="24"/>
        </w:rPr>
        <w:t xml:space="preserve">si </w:t>
      </w:r>
      <w:r>
        <w:rPr>
          <w:rFonts w:cstheme="minorHAnsi"/>
          <w:color w:val="000000" w:themeColor="text1"/>
          <w:sz w:val="24"/>
          <w:szCs w:val="24"/>
        </w:rPr>
        <w:t>conferma</w:t>
      </w:r>
      <w:r w:rsidR="00814C0B">
        <w:rPr>
          <w:rFonts w:cstheme="minorHAnsi"/>
          <w:color w:val="000000" w:themeColor="text1"/>
          <w:sz w:val="24"/>
          <w:szCs w:val="24"/>
        </w:rPr>
        <w:t xml:space="preserve"> la scarsa propensione degli studenti di L-27 al</w:t>
      </w:r>
      <w:r w:rsidR="00E87EE3">
        <w:rPr>
          <w:rFonts w:cstheme="minorHAnsi"/>
          <w:color w:val="000000" w:themeColor="text1"/>
          <w:sz w:val="24"/>
          <w:szCs w:val="24"/>
        </w:rPr>
        <w:t>la mobilità all’estero. Tale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 </w:t>
      </w:r>
      <w:r w:rsidRPr="008F6714">
        <w:rPr>
          <w:rFonts w:cstheme="minorHAnsi"/>
          <w:b/>
          <w:bCs/>
          <w:color w:val="000000" w:themeColor="text1"/>
          <w:sz w:val="24"/>
          <w:szCs w:val="24"/>
        </w:rPr>
        <w:t>criticità</w:t>
      </w:r>
      <w:r>
        <w:rPr>
          <w:rFonts w:cstheme="minorHAnsi"/>
          <w:color w:val="000000" w:themeColor="text1"/>
          <w:sz w:val="24"/>
          <w:szCs w:val="24"/>
        </w:rPr>
        <w:t xml:space="preserve">, già evidenziata nella precedente SMA, </w:t>
      </w:r>
      <w:r w:rsidR="00E87EE3">
        <w:rPr>
          <w:rFonts w:cstheme="minorHAnsi"/>
          <w:color w:val="000000" w:themeColor="text1"/>
          <w:sz w:val="24"/>
          <w:szCs w:val="24"/>
        </w:rPr>
        <w:t>risulta persistere n</w:t>
      </w:r>
      <w:r>
        <w:rPr>
          <w:rFonts w:cstheme="minorHAnsi"/>
          <w:color w:val="000000" w:themeColor="text1"/>
          <w:sz w:val="24"/>
          <w:szCs w:val="24"/>
        </w:rPr>
        <w:t xml:space="preserve">onostante gli incentivi da parte dell’Ateneo e del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E87EE3">
        <w:rPr>
          <w:rFonts w:cstheme="minorHAnsi"/>
          <w:color w:val="000000" w:themeColor="text1"/>
          <w:sz w:val="24"/>
          <w:szCs w:val="24"/>
        </w:rPr>
        <w:t>. Infatti, si evidenzia che gli studenti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87EE3">
        <w:rPr>
          <w:rFonts w:cstheme="minorHAnsi"/>
          <w:color w:val="000000" w:themeColor="text1"/>
          <w:sz w:val="24"/>
          <w:szCs w:val="24"/>
        </w:rPr>
        <w:t xml:space="preserve">propendono per questa </w:t>
      </w:r>
      <w:r w:rsidR="00E87EE3">
        <w:rPr>
          <w:rFonts w:cstheme="minorHAnsi"/>
          <w:color w:val="000000" w:themeColor="text1"/>
          <w:sz w:val="24"/>
          <w:szCs w:val="24"/>
        </w:rPr>
        <w:lastRenderedPageBreak/>
        <w:t xml:space="preserve">esperienza durante il percorso magistrale, probabilmente perché essa può essere causa di ulteriori </w:t>
      </w:r>
      <w:r w:rsidRPr="00512791">
        <w:rPr>
          <w:rFonts w:cstheme="minorHAnsi"/>
          <w:color w:val="000000" w:themeColor="text1"/>
          <w:sz w:val="24"/>
          <w:szCs w:val="24"/>
        </w:rPr>
        <w:t xml:space="preserve">ritardi nel conseguimento </w:t>
      </w:r>
      <w:r w:rsidR="00E87EE3">
        <w:rPr>
          <w:rFonts w:cstheme="minorHAnsi"/>
          <w:color w:val="000000" w:themeColor="text1"/>
          <w:sz w:val="24"/>
          <w:szCs w:val="24"/>
        </w:rPr>
        <w:t>del titolo triennale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7674CAC" w14:textId="209A9B3F" w:rsidR="00217ABB" w:rsidRDefault="004E7B8A" w:rsidP="00E77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  <w:szCs w:val="24"/>
        </w:rPr>
        <w:t>3</w:t>
      </w:r>
      <w:r w:rsidR="00802919">
        <w:rPr>
          <w:rFonts w:cstheme="minorHAnsi"/>
          <w:color w:val="000000" w:themeColor="text1"/>
          <w:sz w:val="24"/>
          <w:szCs w:val="24"/>
        </w:rPr>
        <w:t xml:space="preserve">. </w:t>
      </w:r>
      <w:r w:rsidR="00F73FCB" w:rsidRPr="00F73FCB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40 CFU </w:t>
      </w:r>
      <w:r w:rsidR="00F73FCB" w:rsidRPr="00C83314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acquisiti,</w:t>
      </w:r>
      <w:r w:rsidR="00F73FCB" w:rsidRPr="00C83314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AE49CE" w:rsidRPr="00C83314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l</w:t>
      </w:r>
      <w:r w:rsidR="00802919" w:rsidRPr="00C83314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aureati</w:t>
      </w:r>
      <w:r w:rsidR="00802919" w:rsidRPr="00802919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in corso</w:t>
      </w:r>
      <w:r w:rsidR="00802919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 xml:space="preserve"> ed attrattivit</w:t>
      </w:r>
      <w:r w:rsidR="00604CA7">
        <w:rPr>
          <w:rFonts w:cstheme="minorHAnsi"/>
          <w:b/>
          <w:bCs/>
          <w:i/>
          <w:iCs/>
          <w:color w:val="000000" w:themeColor="text1"/>
          <w:sz w:val="24"/>
          <w:szCs w:val="24"/>
          <w:u w:val="single"/>
        </w:rPr>
        <w:t>à</w:t>
      </w:r>
      <w:r w:rsidR="00802919">
        <w:rPr>
          <w:rFonts w:cstheme="minorHAnsi"/>
          <w:color w:val="000000" w:themeColor="text1"/>
          <w:sz w:val="24"/>
          <w:szCs w:val="24"/>
        </w:rPr>
        <w:t xml:space="preserve">: </w:t>
      </w:r>
      <w:r w:rsidR="00E77F2A">
        <w:rPr>
          <w:rFonts w:cstheme="minorHAnsi"/>
          <w:color w:val="000000" w:themeColor="text1"/>
          <w:sz w:val="24"/>
          <w:szCs w:val="24"/>
        </w:rPr>
        <w:t xml:space="preserve">questi indicatori </w:t>
      </w:r>
      <w:r w:rsidR="00E77F2A" w:rsidRPr="00E77F2A">
        <w:rPr>
          <w:rFonts w:cstheme="minorHAnsi"/>
          <w:color w:val="000000" w:themeColor="text1"/>
          <w:sz w:val="24"/>
          <w:szCs w:val="24"/>
        </w:rPr>
        <w:t>mostrano</w:t>
      </w:r>
      <w:r w:rsidR="00E77F2A" w:rsidRPr="001F14C2">
        <w:rPr>
          <w:rFonts w:cstheme="minorHAnsi"/>
          <w:color w:val="000000" w:themeColor="text1"/>
          <w:sz w:val="24"/>
          <w:szCs w:val="24"/>
        </w:rPr>
        <w:t xml:space="preserve"> </w:t>
      </w:r>
      <w:r w:rsidR="00E77F2A">
        <w:rPr>
          <w:rFonts w:cstheme="minorHAnsi"/>
          <w:color w:val="000000" w:themeColor="text1"/>
          <w:sz w:val="24"/>
          <w:szCs w:val="24"/>
        </w:rPr>
        <w:t xml:space="preserve">ancora </w:t>
      </w:r>
      <w:r w:rsidR="00E77F2A" w:rsidRPr="001F14C2">
        <w:rPr>
          <w:rFonts w:cstheme="minorHAnsi"/>
          <w:color w:val="000000" w:themeColor="text1"/>
          <w:sz w:val="24"/>
          <w:szCs w:val="24"/>
        </w:rPr>
        <w:t>delle</w:t>
      </w:r>
      <w:r w:rsidR="00E77F2A">
        <w:rPr>
          <w:rFonts w:cstheme="minorHAnsi"/>
          <w:color w:val="000000" w:themeColor="text1"/>
          <w:sz w:val="24"/>
          <w:szCs w:val="24"/>
        </w:rPr>
        <w:t xml:space="preserve"> </w:t>
      </w:r>
      <w:r w:rsidR="00E77F2A" w:rsidRPr="009E11FE">
        <w:rPr>
          <w:rFonts w:cstheme="minorHAnsi"/>
          <w:b/>
          <w:bCs/>
          <w:color w:val="000000" w:themeColor="text1"/>
          <w:sz w:val="24"/>
          <w:szCs w:val="24"/>
        </w:rPr>
        <w:t>criticità</w:t>
      </w:r>
      <w:r w:rsidR="00E77F2A">
        <w:rPr>
          <w:rFonts w:cstheme="minorHAnsi"/>
          <w:color w:val="000000" w:themeColor="text1"/>
          <w:sz w:val="24"/>
          <w:szCs w:val="24"/>
        </w:rPr>
        <w:t xml:space="preserve"> con </w:t>
      </w:r>
      <w:r w:rsidR="00E77F2A" w:rsidRPr="00E77F2A">
        <w:rPr>
          <w:rFonts w:cstheme="minorHAnsi"/>
          <w:color w:val="000000" w:themeColor="text1"/>
          <w:sz w:val="24"/>
          <w:szCs w:val="24"/>
        </w:rPr>
        <w:t>valori inferiori sia alla media dell’area geografica (seppur in maniera contenuta) che rispetto alla media nazionale</w:t>
      </w:r>
      <w:r w:rsidR="00E77F2A">
        <w:rPr>
          <w:rFonts w:cstheme="minorHAnsi"/>
          <w:color w:val="000000" w:themeColor="text1"/>
          <w:sz w:val="24"/>
          <w:szCs w:val="24"/>
        </w:rPr>
        <w:t>.</w:t>
      </w:r>
      <w:r w:rsidR="00E77F2A" w:rsidRPr="00E77F2A">
        <w:rPr>
          <w:rFonts w:cstheme="minorHAnsi"/>
          <w:color w:val="000000" w:themeColor="text1"/>
          <w:sz w:val="24"/>
          <w:szCs w:val="24"/>
        </w:rPr>
        <w:t xml:space="preserve"> </w:t>
      </w:r>
      <w:r w:rsidR="00E77F2A">
        <w:rPr>
          <w:rFonts w:cstheme="minorHAnsi"/>
          <w:color w:val="000000" w:themeColor="text1"/>
          <w:sz w:val="24"/>
          <w:szCs w:val="24"/>
        </w:rPr>
        <w:t xml:space="preserve">Il potenziamento dell’attività di tutoring nonché l’aumento del numero di appelli e di sedute di laurea nell’arco dell’anno solare sono stati </w:t>
      </w:r>
      <w:proofErr w:type="gramStart"/>
      <w:r w:rsidR="00E77F2A">
        <w:rPr>
          <w:rFonts w:cstheme="minorHAnsi"/>
          <w:color w:val="000000" w:themeColor="text1"/>
          <w:sz w:val="24"/>
          <w:szCs w:val="24"/>
        </w:rPr>
        <w:t>posti in essere</w:t>
      </w:r>
      <w:proofErr w:type="gramEnd"/>
      <w:r w:rsidR="00E77F2A">
        <w:rPr>
          <w:rFonts w:cstheme="minorHAnsi"/>
          <w:color w:val="000000" w:themeColor="text1"/>
          <w:sz w:val="24"/>
          <w:szCs w:val="24"/>
        </w:rPr>
        <w:t>, portando comunque ad un lieve miglioramento (riferendosi al dato su AA 2019/2020).</w:t>
      </w:r>
      <w:r w:rsidR="00E77F2A" w:rsidRPr="00E77F2A">
        <w:rPr>
          <w:rFonts w:cstheme="minorHAnsi"/>
          <w:color w:val="000000" w:themeColor="text1"/>
          <w:sz w:val="24"/>
          <w:szCs w:val="24"/>
        </w:rPr>
        <w:t xml:space="preserve"> Risulta contenuta, ma in crescita l’attrattività del </w:t>
      </w:r>
      <w:proofErr w:type="spellStart"/>
      <w:r w:rsidR="00E77F2A" w:rsidRPr="00E77F2A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E77F2A" w:rsidRPr="00E77F2A">
        <w:rPr>
          <w:rFonts w:cstheme="minorHAnsi"/>
          <w:color w:val="000000" w:themeColor="text1"/>
          <w:sz w:val="24"/>
          <w:szCs w:val="24"/>
        </w:rPr>
        <w:t xml:space="preserve"> verso gli studenti di altre regioni </w:t>
      </w:r>
      <w:r w:rsidR="00E77F2A">
        <w:rPr>
          <w:rFonts w:cstheme="minorHAnsi"/>
          <w:color w:val="000000" w:themeColor="text1"/>
          <w:sz w:val="24"/>
          <w:szCs w:val="24"/>
        </w:rPr>
        <w:t>grazie ad alcune iniziative intraprese</w:t>
      </w:r>
      <w:r w:rsidR="0029432B">
        <w:rPr>
          <w:rFonts w:cstheme="minorHAnsi"/>
          <w:color w:val="000000" w:themeColor="text1"/>
          <w:sz w:val="24"/>
          <w:szCs w:val="24"/>
        </w:rPr>
        <w:t>,</w:t>
      </w:r>
      <w:r w:rsidR="00867A72">
        <w:rPr>
          <w:rFonts w:cstheme="minorHAnsi"/>
          <w:color w:val="000000" w:themeColor="text1"/>
          <w:sz w:val="24"/>
          <w:szCs w:val="24"/>
        </w:rPr>
        <w:t xml:space="preserve"> quali l’aumento dei tirocini curriculari </w:t>
      </w:r>
      <w:r w:rsidR="00E77F2A">
        <w:rPr>
          <w:rFonts w:cstheme="minorHAnsi"/>
          <w:color w:val="000000" w:themeColor="text1"/>
          <w:sz w:val="24"/>
          <w:szCs w:val="24"/>
        </w:rPr>
        <w:t>presso aziende</w:t>
      </w:r>
      <w:r w:rsidR="00867A72">
        <w:rPr>
          <w:rFonts w:cstheme="minorHAnsi"/>
          <w:color w:val="000000" w:themeColor="text1"/>
          <w:sz w:val="24"/>
          <w:szCs w:val="24"/>
        </w:rPr>
        <w:t xml:space="preserve"> ed i car</w:t>
      </w:r>
      <w:r w:rsidR="00604CA7">
        <w:rPr>
          <w:rFonts w:cstheme="minorHAnsi"/>
          <w:color w:val="000000" w:themeColor="text1"/>
          <w:sz w:val="24"/>
          <w:szCs w:val="24"/>
        </w:rPr>
        <w:t>e</w:t>
      </w:r>
      <w:r w:rsidR="00867A72">
        <w:rPr>
          <w:rFonts w:cstheme="minorHAnsi"/>
          <w:color w:val="000000" w:themeColor="text1"/>
          <w:sz w:val="24"/>
          <w:szCs w:val="24"/>
        </w:rPr>
        <w:t>er days.</w:t>
      </w:r>
    </w:p>
    <w:p w14:paraId="427BDF27" w14:textId="77909DC9" w:rsidR="00BC761E" w:rsidRDefault="00362A4E" w:rsidP="00755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</w:rPr>
        <w:t>4</w:t>
      </w:r>
      <w:r w:rsidR="00BC761E">
        <w:rPr>
          <w:rFonts w:cstheme="minorHAnsi"/>
          <w:color w:val="000000" w:themeColor="text1"/>
          <w:sz w:val="24"/>
        </w:rPr>
        <w:t xml:space="preserve">. </w:t>
      </w:r>
      <w:r w:rsidR="00BC761E" w:rsidRPr="00EC144A">
        <w:rPr>
          <w:rFonts w:cstheme="minorHAnsi"/>
          <w:b/>
          <w:i/>
          <w:color w:val="000000" w:themeColor="text1"/>
          <w:sz w:val="24"/>
          <w:u w:val="single"/>
        </w:rPr>
        <w:t xml:space="preserve">Passaggio tra il </w:t>
      </w:r>
      <w:proofErr w:type="gramStart"/>
      <w:r w:rsidR="00BC761E" w:rsidRPr="00EC144A">
        <w:rPr>
          <w:rFonts w:cstheme="minorHAnsi"/>
          <w:b/>
          <w:i/>
          <w:color w:val="000000" w:themeColor="text1"/>
          <w:sz w:val="24"/>
          <w:u w:val="single"/>
        </w:rPr>
        <w:t>1°</w:t>
      </w:r>
      <w:proofErr w:type="gramEnd"/>
      <w:r w:rsidR="00BC761E" w:rsidRPr="00EC144A">
        <w:rPr>
          <w:rFonts w:cstheme="minorHAnsi"/>
          <w:b/>
          <w:i/>
          <w:color w:val="000000" w:themeColor="text1"/>
          <w:sz w:val="24"/>
          <w:u w:val="single"/>
        </w:rPr>
        <w:t xml:space="preserve"> ed il 2° anno</w:t>
      </w:r>
      <w:r w:rsidR="00BC761E">
        <w:rPr>
          <w:rFonts w:cstheme="minorHAnsi"/>
          <w:color w:val="000000" w:themeColor="text1"/>
          <w:sz w:val="24"/>
        </w:rPr>
        <w:t xml:space="preserve">: </w:t>
      </w:r>
      <w:r w:rsidR="000A0DA1">
        <w:rPr>
          <w:rFonts w:cstheme="minorHAnsi"/>
          <w:color w:val="000000" w:themeColor="text1"/>
          <w:sz w:val="24"/>
          <w:szCs w:val="24"/>
        </w:rPr>
        <w:t>il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passaggio tra il primo ed il secondo anno è cruciale per il prosieguo nel </w:t>
      </w:r>
      <w:proofErr w:type="spellStart"/>
      <w:r w:rsidR="000A0DA1" w:rsidRPr="000A0DA1">
        <w:rPr>
          <w:rFonts w:cstheme="minorHAnsi"/>
          <w:color w:val="000000" w:themeColor="text1"/>
          <w:sz w:val="24"/>
          <w:szCs w:val="24"/>
        </w:rPr>
        <w:t>CdS</w:t>
      </w:r>
      <w:proofErr w:type="spellEnd"/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. Tutti gli indicatori </w:t>
      </w:r>
      <w:r w:rsidR="000A0DA1">
        <w:rPr>
          <w:rFonts w:cstheme="minorHAnsi"/>
          <w:color w:val="000000" w:themeColor="text1"/>
          <w:sz w:val="24"/>
          <w:szCs w:val="24"/>
        </w:rPr>
        <w:t xml:space="preserve">che monitorano questa fase 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sembrano confermare </w:t>
      </w:r>
      <w:proofErr w:type="gramStart"/>
      <w:r w:rsidR="000A0DA1" w:rsidRPr="000A0DA1">
        <w:rPr>
          <w:rFonts w:cstheme="minorHAnsi"/>
          <w:color w:val="000000" w:themeColor="text1"/>
          <w:sz w:val="24"/>
          <w:szCs w:val="24"/>
        </w:rPr>
        <w:t>un trend positivo</w:t>
      </w:r>
      <w:proofErr w:type="gramEnd"/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che dal 2017 in poi vede i valori </w:t>
      </w:r>
      <w:r w:rsidR="00F11E4D" w:rsidRPr="00F11E4D">
        <w:rPr>
          <w:rFonts w:cstheme="minorHAnsi"/>
          <w:color w:val="000000" w:themeColor="text1"/>
          <w:sz w:val="24"/>
          <w:szCs w:val="24"/>
        </w:rPr>
        <w:t>in linea con le medie dell’area geografica e poco sotto quelle nazionali.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</w:t>
      </w:r>
      <w:r w:rsidR="00F11E4D">
        <w:rPr>
          <w:rFonts w:cstheme="minorHAnsi"/>
          <w:color w:val="000000" w:themeColor="text1"/>
          <w:sz w:val="24"/>
          <w:szCs w:val="24"/>
        </w:rPr>
        <w:t xml:space="preserve">Come indicato nella SMA dell’anno precedente, le </w:t>
      </w:r>
      <w:r w:rsidR="000A0DA1" w:rsidRPr="000A0DA1">
        <w:rPr>
          <w:rFonts w:cstheme="minorHAnsi"/>
          <w:color w:val="000000" w:themeColor="text1"/>
          <w:sz w:val="24"/>
          <w:szCs w:val="24"/>
        </w:rPr>
        <w:t>azioni avviate nel 2017</w:t>
      </w:r>
      <w:r w:rsidR="00F11E4D">
        <w:rPr>
          <w:rFonts w:cstheme="minorHAnsi"/>
          <w:color w:val="000000" w:themeColor="text1"/>
          <w:sz w:val="24"/>
          <w:szCs w:val="24"/>
        </w:rPr>
        <w:t xml:space="preserve"> in termini di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potenziamento del tutorato al I anno e </w:t>
      </w:r>
      <w:r w:rsidR="00F11E4D">
        <w:rPr>
          <w:rFonts w:cstheme="minorHAnsi"/>
          <w:color w:val="000000" w:themeColor="text1"/>
          <w:sz w:val="24"/>
          <w:szCs w:val="24"/>
        </w:rPr>
        <w:t>di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alleggeri</w:t>
      </w:r>
      <w:r w:rsidR="00F11E4D">
        <w:rPr>
          <w:rFonts w:cstheme="minorHAnsi"/>
          <w:color w:val="000000" w:themeColor="text1"/>
          <w:sz w:val="24"/>
          <w:szCs w:val="24"/>
        </w:rPr>
        <w:t>mento del</w:t>
      </w:r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carico di insegnamenti del </w:t>
      </w:r>
      <w:proofErr w:type="gramStart"/>
      <w:r w:rsidR="000A0DA1" w:rsidRPr="000A0DA1">
        <w:rPr>
          <w:rFonts w:cstheme="minorHAnsi"/>
          <w:color w:val="000000" w:themeColor="text1"/>
          <w:sz w:val="24"/>
          <w:szCs w:val="24"/>
        </w:rPr>
        <w:t>1°</w:t>
      </w:r>
      <w:proofErr w:type="gramEnd"/>
      <w:r w:rsidR="000A0DA1" w:rsidRPr="000A0DA1">
        <w:rPr>
          <w:rFonts w:cstheme="minorHAnsi"/>
          <w:color w:val="000000" w:themeColor="text1"/>
          <w:sz w:val="24"/>
          <w:szCs w:val="24"/>
        </w:rPr>
        <w:t xml:space="preserve"> semestre</w:t>
      </w:r>
      <w:r w:rsidR="00F11E4D">
        <w:rPr>
          <w:rFonts w:cstheme="minorHAnsi"/>
          <w:color w:val="000000" w:themeColor="text1"/>
          <w:sz w:val="24"/>
          <w:szCs w:val="24"/>
        </w:rPr>
        <w:t xml:space="preserve"> hanno verosimilmente sortito questi effetti</w:t>
      </w:r>
      <w:r w:rsidR="000A0DA1" w:rsidRPr="000A0DA1">
        <w:rPr>
          <w:rFonts w:cstheme="minorHAnsi"/>
          <w:color w:val="000000" w:themeColor="text1"/>
          <w:sz w:val="24"/>
          <w:szCs w:val="24"/>
        </w:rPr>
        <w:t>.</w:t>
      </w:r>
    </w:p>
    <w:p w14:paraId="3D4BB4DE" w14:textId="3BE42C01" w:rsidR="00A33088" w:rsidRPr="00B15F67" w:rsidRDefault="00362A4E" w:rsidP="00A3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  <w:szCs w:val="24"/>
        </w:rPr>
        <w:t>5</w:t>
      </w:r>
      <w:r w:rsidR="00AE1035">
        <w:rPr>
          <w:rFonts w:cstheme="minorHAnsi"/>
          <w:color w:val="000000" w:themeColor="text1"/>
          <w:sz w:val="24"/>
          <w:szCs w:val="24"/>
        </w:rPr>
        <w:t xml:space="preserve">. </w:t>
      </w:r>
      <w:r w:rsidR="00AE1035" w:rsidRPr="00A33088">
        <w:rPr>
          <w:rFonts w:cstheme="minorHAnsi"/>
          <w:b/>
          <w:i/>
          <w:color w:val="000000" w:themeColor="text1"/>
          <w:sz w:val="24"/>
          <w:szCs w:val="24"/>
          <w:u w:val="single"/>
        </w:rPr>
        <w:t>Abbandoni</w:t>
      </w:r>
      <w:r w:rsidR="00AE1035">
        <w:rPr>
          <w:rFonts w:cstheme="minorHAnsi"/>
          <w:color w:val="000000" w:themeColor="text1"/>
          <w:sz w:val="24"/>
          <w:szCs w:val="24"/>
        </w:rPr>
        <w:t>:</w:t>
      </w:r>
      <w:r w:rsidR="00E7695D" w:rsidRPr="00E7695D">
        <w:t xml:space="preserve"> </w:t>
      </w:r>
      <w:r w:rsidR="00E7695D" w:rsidRPr="00E7695D">
        <w:rPr>
          <w:rFonts w:cstheme="minorHAnsi"/>
          <w:color w:val="000000" w:themeColor="text1"/>
          <w:sz w:val="24"/>
          <w:szCs w:val="24"/>
        </w:rPr>
        <w:t xml:space="preserve">Il dato appare </w:t>
      </w:r>
      <w:r w:rsidR="00F11E4D">
        <w:rPr>
          <w:rFonts w:cstheme="minorHAnsi"/>
          <w:color w:val="000000" w:themeColor="text1"/>
          <w:sz w:val="24"/>
          <w:szCs w:val="24"/>
        </w:rPr>
        <w:t>inferiore a</w:t>
      </w:r>
      <w:r w:rsidR="00E7695D" w:rsidRPr="00E7695D">
        <w:rPr>
          <w:rFonts w:cstheme="minorHAnsi"/>
          <w:color w:val="000000" w:themeColor="text1"/>
          <w:sz w:val="24"/>
          <w:szCs w:val="24"/>
        </w:rPr>
        <w:t xml:space="preserve"> </w:t>
      </w:r>
      <w:r w:rsidR="00E7695D">
        <w:rPr>
          <w:rFonts w:cstheme="minorHAnsi"/>
          <w:color w:val="000000" w:themeColor="text1"/>
          <w:sz w:val="24"/>
          <w:szCs w:val="24"/>
        </w:rPr>
        <w:t>quello</w:t>
      </w:r>
      <w:r w:rsidR="00E7695D" w:rsidRPr="00E7695D">
        <w:rPr>
          <w:rFonts w:cstheme="minorHAnsi"/>
          <w:color w:val="000000" w:themeColor="text1"/>
          <w:sz w:val="24"/>
          <w:szCs w:val="24"/>
        </w:rPr>
        <w:t xml:space="preserve"> dell’area geografica e</w:t>
      </w:r>
      <w:r w:rsidR="00F11E4D">
        <w:rPr>
          <w:rFonts w:cstheme="minorHAnsi"/>
          <w:color w:val="000000" w:themeColor="text1"/>
          <w:sz w:val="24"/>
          <w:szCs w:val="24"/>
        </w:rPr>
        <w:t xml:space="preserve"> poco superiore a</w:t>
      </w:r>
      <w:r w:rsidR="00E7695D" w:rsidRPr="00E7695D">
        <w:rPr>
          <w:rFonts w:cstheme="minorHAnsi"/>
          <w:color w:val="000000" w:themeColor="text1"/>
          <w:sz w:val="24"/>
          <w:szCs w:val="24"/>
        </w:rPr>
        <w:t xml:space="preserve"> quello nazionale</w:t>
      </w:r>
      <w:r w:rsidR="00E7695D">
        <w:rPr>
          <w:rFonts w:cstheme="minorHAnsi"/>
          <w:color w:val="000000" w:themeColor="text1"/>
          <w:sz w:val="24"/>
          <w:szCs w:val="24"/>
        </w:rPr>
        <w:t>.</w:t>
      </w:r>
      <w:r w:rsidR="0014230E">
        <w:rPr>
          <w:rFonts w:cstheme="minorHAnsi"/>
          <w:color w:val="000000" w:themeColor="text1"/>
          <w:sz w:val="24"/>
          <w:szCs w:val="24"/>
        </w:rPr>
        <w:t xml:space="preserve"> </w:t>
      </w:r>
      <w:r w:rsidR="00590EC9">
        <w:rPr>
          <w:rFonts w:cstheme="minorHAnsi"/>
          <w:color w:val="000000" w:themeColor="text1"/>
          <w:sz w:val="24"/>
          <w:szCs w:val="24"/>
        </w:rPr>
        <w:t xml:space="preserve">Esso rappresenta </w:t>
      </w:r>
      <w:r w:rsidR="00590EC9">
        <w:rPr>
          <w:rFonts w:cstheme="minorHAnsi"/>
          <w:color w:val="000000" w:themeColor="text1"/>
          <w:sz w:val="24"/>
        </w:rPr>
        <w:t xml:space="preserve">una </w:t>
      </w:r>
      <w:r w:rsidR="00590EC9" w:rsidRPr="009179A2">
        <w:rPr>
          <w:rFonts w:cstheme="minorHAnsi"/>
          <w:b/>
          <w:bCs/>
          <w:color w:val="000000" w:themeColor="text1"/>
          <w:sz w:val="24"/>
        </w:rPr>
        <w:t>criticità</w:t>
      </w:r>
      <w:r w:rsidR="00590EC9">
        <w:rPr>
          <w:rFonts w:cstheme="minorHAnsi"/>
          <w:color w:val="000000" w:themeColor="text1"/>
          <w:sz w:val="24"/>
        </w:rPr>
        <w:t xml:space="preserve"> per il </w:t>
      </w:r>
      <w:proofErr w:type="spellStart"/>
      <w:r w:rsidR="00590EC9">
        <w:rPr>
          <w:rFonts w:cstheme="minorHAnsi"/>
          <w:color w:val="000000" w:themeColor="text1"/>
          <w:sz w:val="24"/>
        </w:rPr>
        <w:t>CdS</w:t>
      </w:r>
      <w:proofErr w:type="spellEnd"/>
      <w:r w:rsidR="00590EC9">
        <w:rPr>
          <w:rFonts w:cstheme="minorHAnsi"/>
          <w:color w:val="000000" w:themeColor="text1"/>
          <w:sz w:val="24"/>
        </w:rPr>
        <w:t xml:space="preserve"> in considerazione del numero di studenti iscritto oltre il </w:t>
      </w:r>
      <w:proofErr w:type="gramStart"/>
      <w:r w:rsidR="00590EC9">
        <w:rPr>
          <w:rFonts w:cstheme="minorHAnsi"/>
          <w:color w:val="000000" w:themeColor="text1"/>
          <w:sz w:val="24"/>
        </w:rPr>
        <w:t>2°</w:t>
      </w:r>
      <w:proofErr w:type="gramEnd"/>
      <w:r w:rsidR="00590EC9">
        <w:rPr>
          <w:rFonts w:cstheme="minorHAnsi"/>
          <w:color w:val="000000" w:themeColor="text1"/>
          <w:sz w:val="24"/>
        </w:rPr>
        <w:t xml:space="preserve"> anno FC, ma </w:t>
      </w:r>
      <w:r w:rsidR="00590EC9" w:rsidRPr="00590EC9">
        <w:rPr>
          <w:rFonts w:cstheme="minorHAnsi"/>
          <w:b/>
          <w:bCs/>
          <w:color w:val="000000" w:themeColor="text1"/>
          <w:sz w:val="24"/>
        </w:rPr>
        <w:t>contenuta</w:t>
      </w:r>
      <w:r w:rsidR="00590EC9">
        <w:rPr>
          <w:rFonts w:cstheme="minorHAnsi"/>
          <w:color w:val="000000" w:themeColor="text1"/>
          <w:sz w:val="24"/>
        </w:rPr>
        <w:t xml:space="preserve"> rispetto al dato calcolato </w:t>
      </w:r>
      <w:r w:rsidR="00590EC9">
        <w:rPr>
          <w:rFonts w:cstheme="minorHAnsi"/>
          <w:color w:val="000000" w:themeColor="text1"/>
          <w:sz w:val="24"/>
          <w:szCs w:val="24"/>
        </w:rPr>
        <w:t>n</w:t>
      </w:r>
      <w:r w:rsidR="00F11E4D">
        <w:rPr>
          <w:rFonts w:cstheme="minorHAnsi"/>
          <w:color w:val="000000" w:themeColor="text1"/>
          <w:sz w:val="24"/>
          <w:szCs w:val="24"/>
        </w:rPr>
        <w:t>ella scheda SMA dell’anno precedente</w:t>
      </w:r>
      <w:r w:rsidR="00590EC9">
        <w:rPr>
          <w:rFonts w:cstheme="minorHAnsi"/>
          <w:color w:val="000000" w:themeColor="text1"/>
          <w:sz w:val="24"/>
          <w:szCs w:val="24"/>
        </w:rPr>
        <w:t xml:space="preserve">. </w:t>
      </w:r>
      <w:r w:rsidR="00F11E4D">
        <w:rPr>
          <w:rFonts w:cstheme="minorHAnsi"/>
          <w:color w:val="000000" w:themeColor="text1"/>
          <w:sz w:val="24"/>
        </w:rPr>
        <w:t>In</w:t>
      </w:r>
      <w:r w:rsidR="00590EC9">
        <w:rPr>
          <w:rFonts w:cstheme="minorHAnsi"/>
          <w:color w:val="000000" w:themeColor="text1"/>
          <w:sz w:val="24"/>
        </w:rPr>
        <w:t>fatti</w:t>
      </w:r>
      <w:r w:rsidR="00F11E4D">
        <w:rPr>
          <w:rFonts w:cstheme="minorHAnsi"/>
          <w:color w:val="000000" w:themeColor="text1"/>
          <w:sz w:val="24"/>
        </w:rPr>
        <w:t xml:space="preserve">, </w:t>
      </w:r>
      <w:r w:rsidR="00590EC9" w:rsidRPr="00F11E4D">
        <w:rPr>
          <w:rFonts w:cstheme="minorHAnsi"/>
          <w:color w:val="000000" w:themeColor="text1"/>
          <w:sz w:val="24"/>
        </w:rPr>
        <w:t xml:space="preserve">il numero di studenti FC oltre il </w:t>
      </w:r>
      <w:proofErr w:type="gramStart"/>
      <w:r w:rsidR="00590EC9" w:rsidRPr="00F11E4D">
        <w:rPr>
          <w:rFonts w:cstheme="minorHAnsi"/>
          <w:color w:val="000000" w:themeColor="text1"/>
          <w:sz w:val="24"/>
        </w:rPr>
        <w:t>1°</w:t>
      </w:r>
      <w:proofErr w:type="gramEnd"/>
      <w:r w:rsidR="00590EC9">
        <w:rPr>
          <w:rFonts w:cstheme="minorHAnsi"/>
          <w:color w:val="000000" w:themeColor="text1"/>
          <w:sz w:val="24"/>
        </w:rPr>
        <w:t xml:space="preserve"> </w:t>
      </w:r>
      <w:r w:rsidR="00F11E4D" w:rsidRPr="00F11E4D">
        <w:rPr>
          <w:rFonts w:cstheme="minorHAnsi"/>
          <w:color w:val="000000" w:themeColor="text1"/>
          <w:sz w:val="24"/>
        </w:rPr>
        <w:t xml:space="preserve">per la coorte 2016/2017 </w:t>
      </w:r>
      <w:r w:rsidR="00590EC9">
        <w:rPr>
          <w:rFonts w:cstheme="minorHAnsi"/>
          <w:color w:val="000000" w:themeColor="text1"/>
          <w:sz w:val="24"/>
        </w:rPr>
        <w:t>(18</w:t>
      </w:r>
      <w:r w:rsidR="00590EC9" w:rsidRPr="00590EC9">
        <w:rPr>
          <w:rFonts w:cstheme="minorHAnsi"/>
          <w:color w:val="000000" w:themeColor="text1"/>
          <w:sz w:val="24"/>
        </w:rPr>
        <w:t xml:space="preserve"> su 69</w:t>
      </w:r>
      <w:r w:rsidR="00590EC9">
        <w:rPr>
          <w:rFonts w:cstheme="minorHAnsi"/>
          <w:color w:val="000000" w:themeColor="text1"/>
          <w:sz w:val="24"/>
        </w:rPr>
        <w:t>) è inferiore al dato calcolato sulla</w:t>
      </w:r>
      <w:r w:rsidR="00F11E4D" w:rsidRPr="00F11E4D">
        <w:rPr>
          <w:rFonts w:cstheme="minorHAnsi"/>
          <w:color w:val="000000" w:themeColor="text1"/>
          <w:sz w:val="24"/>
        </w:rPr>
        <w:t xml:space="preserve"> coorte precedente</w:t>
      </w:r>
      <w:r w:rsidR="00590EC9">
        <w:rPr>
          <w:rFonts w:cstheme="minorHAnsi"/>
          <w:color w:val="000000" w:themeColor="text1"/>
          <w:sz w:val="24"/>
        </w:rPr>
        <w:t>.</w:t>
      </w:r>
      <w:r w:rsidR="00F11E4D" w:rsidRPr="00F11E4D">
        <w:rPr>
          <w:rFonts w:cstheme="minorHAnsi"/>
          <w:color w:val="000000" w:themeColor="text1"/>
          <w:sz w:val="24"/>
        </w:rPr>
        <w:t xml:space="preserve"> </w:t>
      </w:r>
      <w:r w:rsidR="002C7A1F">
        <w:rPr>
          <w:rFonts w:cstheme="minorHAnsi"/>
          <w:color w:val="000000" w:themeColor="text1"/>
          <w:sz w:val="24"/>
        </w:rPr>
        <w:t xml:space="preserve">Le azioni del </w:t>
      </w:r>
      <w:proofErr w:type="spellStart"/>
      <w:r w:rsidR="002C7A1F">
        <w:rPr>
          <w:rFonts w:cstheme="minorHAnsi"/>
          <w:color w:val="000000" w:themeColor="text1"/>
          <w:sz w:val="24"/>
        </w:rPr>
        <w:t>CdS</w:t>
      </w:r>
      <w:proofErr w:type="spellEnd"/>
      <w:r w:rsidR="002C7A1F">
        <w:rPr>
          <w:rFonts w:cstheme="minorHAnsi"/>
          <w:color w:val="000000" w:themeColor="text1"/>
          <w:sz w:val="24"/>
        </w:rPr>
        <w:t xml:space="preserve"> su esposte </w:t>
      </w:r>
      <w:r w:rsidR="00590EC9">
        <w:rPr>
          <w:rFonts w:cstheme="minorHAnsi"/>
          <w:color w:val="000000" w:themeColor="text1"/>
          <w:sz w:val="24"/>
        </w:rPr>
        <w:t>hanno quindi contribuito ad</w:t>
      </w:r>
      <w:r w:rsidR="00404EE8">
        <w:rPr>
          <w:rFonts w:cstheme="minorHAnsi"/>
          <w:color w:val="000000" w:themeColor="text1"/>
          <w:sz w:val="24"/>
        </w:rPr>
        <w:t xml:space="preserve"> attenuare questa criticità.</w:t>
      </w:r>
      <w:r w:rsidR="002C7A1F">
        <w:rPr>
          <w:rFonts w:cstheme="minorHAnsi"/>
          <w:color w:val="000000" w:themeColor="text1"/>
          <w:sz w:val="24"/>
        </w:rPr>
        <w:t xml:space="preserve"> </w:t>
      </w:r>
    </w:p>
    <w:sectPr w:rsidR="00A33088" w:rsidRPr="00B15F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16"/>
    <w:rsid w:val="0000041A"/>
    <w:rsid w:val="0000106A"/>
    <w:rsid w:val="00001E83"/>
    <w:rsid w:val="00005AA2"/>
    <w:rsid w:val="000132FC"/>
    <w:rsid w:val="00016901"/>
    <w:rsid w:val="00034EF3"/>
    <w:rsid w:val="00044925"/>
    <w:rsid w:val="00054529"/>
    <w:rsid w:val="0005704E"/>
    <w:rsid w:val="0006008A"/>
    <w:rsid w:val="00064864"/>
    <w:rsid w:val="000720C6"/>
    <w:rsid w:val="00090E66"/>
    <w:rsid w:val="00091B6B"/>
    <w:rsid w:val="00091F84"/>
    <w:rsid w:val="000A0DA1"/>
    <w:rsid w:val="000A3FDA"/>
    <w:rsid w:val="000B1253"/>
    <w:rsid w:val="000B183C"/>
    <w:rsid w:val="000C6302"/>
    <w:rsid w:val="000D4FC3"/>
    <w:rsid w:val="000E2227"/>
    <w:rsid w:val="000E7C37"/>
    <w:rsid w:val="000F4879"/>
    <w:rsid w:val="000F7868"/>
    <w:rsid w:val="001061E2"/>
    <w:rsid w:val="00106368"/>
    <w:rsid w:val="00114A6D"/>
    <w:rsid w:val="00116A34"/>
    <w:rsid w:val="001218EB"/>
    <w:rsid w:val="00125125"/>
    <w:rsid w:val="001318FD"/>
    <w:rsid w:val="001323CD"/>
    <w:rsid w:val="00134C1A"/>
    <w:rsid w:val="00137839"/>
    <w:rsid w:val="0014230E"/>
    <w:rsid w:val="00143278"/>
    <w:rsid w:val="001461EB"/>
    <w:rsid w:val="00152C78"/>
    <w:rsid w:val="00172FDB"/>
    <w:rsid w:val="0018029E"/>
    <w:rsid w:val="00182ACB"/>
    <w:rsid w:val="001850B4"/>
    <w:rsid w:val="00187E4E"/>
    <w:rsid w:val="0019195C"/>
    <w:rsid w:val="00191F1B"/>
    <w:rsid w:val="001A17F6"/>
    <w:rsid w:val="001A7EEC"/>
    <w:rsid w:val="001C29DE"/>
    <w:rsid w:val="001C4D87"/>
    <w:rsid w:val="001D13EF"/>
    <w:rsid w:val="001D3A06"/>
    <w:rsid w:val="001D4A81"/>
    <w:rsid w:val="001D5225"/>
    <w:rsid w:val="001E08B7"/>
    <w:rsid w:val="001E0BDF"/>
    <w:rsid w:val="001E446F"/>
    <w:rsid w:val="001E4496"/>
    <w:rsid w:val="001F0497"/>
    <w:rsid w:val="001F13A9"/>
    <w:rsid w:val="001F14C2"/>
    <w:rsid w:val="001F218B"/>
    <w:rsid w:val="001F5C9A"/>
    <w:rsid w:val="00204B99"/>
    <w:rsid w:val="00210435"/>
    <w:rsid w:val="002122D9"/>
    <w:rsid w:val="002123BF"/>
    <w:rsid w:val="00213462"/>
    <w:rsid w:val="00217ABB"/>
    <w:rsid w:val="0022386E"/>
    <w:rsid w:val="0022624A"/>
    <w:rsid w:val="00240400"/>
    <w:rsid w:val="00242EE9"/>
    <w:rsid w:val="002460E4"/>
    <w:rsid w:val="0025018A"/>
    <w:rsid w:val="00270685"/>
    <w:rsid w:val="00271D9B"/>
    <w:rsid w:val="00272CCB"/>
    <w:rsid w:val="002738C4"/>
    <w:rsid w:val="00274627"/>
    <w:rsid w:val="0029432B"/>
    <w:rsid w:val="00294682"/>
    <w:rsid w:val="002A33C1"/>
    <w:rsid w:val="002A5F1B"/>
    <w:rsid w:val="002A649F"/>
    <w:rsid w:val="002B6749"/>
    <w:rsid w:val="002C7A1F"/>
    <w:rsid w:val="002C7D99"/>
    <w:rsid w:val="002D12B0"/>
    <w:rsid w:val="002D6AC9"/>
    <w:rsid w:val="002E17FE"/>
    <w:rsid w:val="002E2053"/>
    <w:rsid w:val="002E2FE2"/>
    <w:rsid w:val="002E3239"/>
    <w:rsid w:val="002E3626"/>
    <w:rsid w:val="002F1968"/>
    <w:rsid w:val="002F365A"/>
    <w:rsid w:val="002F6B5C"/>
    <w:rsid w:val="002F744C"/>
    <w:rsid w:val="0030221A"/>
    <w:rsid w:val="00303C2F"/>
    <w:rsid w:val="0031676F"/>
    <w:rsid w:val="00320091"/>
    <w:rsid w:val="00330309"/>
    <w:rsid w:val="00332A94"/>
    <w:rsid w:val="00335029"/>
    <w:rsid w:val="00336FA9"/>
    <w:rsid w:val="003411A4"/>
    <w:rsid w:val="00343D0C"/>
    <w:rsid w:val="00343F05"/>
    <w:rsid w:val="00344603"/>
    <w:rsid w:val="0034586B"/>
    <w:rsid w:val="00347143"/>
    <w:rsid w:val="0035009B"/>
    <w:rsid w:val="00354D06"/>
    <w:rsid w:val="0035536F"/>
    <w:rsid w:val="00360051"/>
    <w:rsid w:val="003622FF"/>
    <w:rsid w:val="00362A4E"/>
    <w:rsid w:val="00372057"/>
    <w:rsid w:val="00383B2C"/>
    <w:rsid w:val="00385426"/>
    <w:rsid w:val="00390CB2"/>
    <w:rsid w:val="00391B64"/>
    <w:rsid w:val="00394FE3"/>
    <w:rsid w:val="00396F2A"/>
    <w:rsid w:val="003A054F"/>
    <w:rsid w:val="003B18F8"/>
    <w:rsid w:val="003B2DC7"/>
    <w:rsid w:val="003B707F"/>
    <w:rsid w:val="003C6C92"/>
    <w:rsid w:val="003D127F"/>
    <w:rsid w:val="003D7B4A"/>
    <w:rsid w:val="003E2EC8"/>
    <w:rsid w:val="003E4496"/>
    <w:rsid w:val="00401F89"/>
    <w:rsid w:val="00404EE8"/>
    <w:rsid w:val="00405375"/>
    <w:rsid w:val="00412611"/>
    <w:rsid w:val="0041458D"/>
    <w:rsid w:val="00417A01"/>
    <w:rsid w:val="00423B53"/>
    <w:rsid w:val="00442259"/>
    <w:rsid w:val="00442B99"/>
    <w:rsid w:val="00442C77"/>
    <w:rsid w:val="00444604"/>
    <w:rsid w:val="004453EF"/>
    <w:rsid w:val="00446B82"/>
    <w:rsid w:val="00450883"/>
    <w:rsid w:val="00460E72"/>
    <w:rsid w:val="004719AD"/>
    <w:rsid w:val="00475A85"/>
    <w:rsid w:val="00477AC9"/>
    <w:rsid w:val="0048042C"/>
    <w:rsid w:val="00480952"/>
    <w:rsid w:val="00483FBF"/>
    <w:rsid w:val="004857E3"/>
    <w:rsid w:val="004A1AE0"/>
    <w:rsid w:val="004A6B48"/>
    <w:rsid w:val="004D0180"/>
    <w:rsid w:val="004D05A9"/>
    <w:rsid w:val="004E4474"/>
    <w:rsid w:val="004E6B2B"/>
    <w:rsid w:val="004E7B8A"/>
    <w:rsid w:val="004F1AC5"/>
    <w:rsid w:val="00500B31"/>
    <w:rsid w:val="00506898"/>
    <w:rsid w:val="005104CF"/>
    <w:rsid w:val="00512791"/>
    <w:rsid w:val="005146B1"/>
    <w:rsid w:val="005159C8"/>
    <w:rsid w:val="00524124"/>
    <w:rsid w:val="00531886"/>
    <w:rsid w:val="0053765A"/>
    <w:rsid w:val="0054041C"/>
    <w:rsid w:val="00552E9F"/>
    <w:rsid w:val="0056286F"/>
    <w:rsid w:val="00566C27"/>
    <w:rsid w:val="00572AB9"/>
    <w:rsid w:val="00575A90"/>
    <w:rsid w:val="005773F0"/>
    <w:rsid w:val="005807F1"/>
    <w:rsid w:val="00582014"/>
    <w:rsid w:val="0058780C"/>
    <w:rsid w:val="00590EC9"/>
    <w:rsid w:val="005911BC"/>
    <w:rsid w:val="00592E9F"/>
    <w:rsid w:val="005A31A9"/>
    <w:rsid w:val="005A57AF"/>
    <w:rsid w:val="005B25DA"/>
    <w:rsid w:val="005B3AA9"/>
    <w:rsid w:val="005C67A1"/>
    <w:rsid w:val="005E094D"/>
    <w:rsid w:val="005E1B12"/>
    <w:rsid w:val="005E26D3"/>
    <w:rsid w:val="005E41CC"/>
    <w:rsid w:val="005E5D84"/>
    <w:rsid w:val="005F430A"/>
    <w:rsid w:val="00600F16"/>
    <w:rsid w:val="00603EDD"/>
    <w:rsid w:val="00604CA7"/>
    <w:rsid w:val="00613343"/>
    <w:rsid w:val="00621ED1"/>
    <w:rsid w:val="00630DB7"/>
    <w:rsid w:val="00633969"/>
    <w:rsid w:val="00634344"/>
    <w:rsid w:val="00641D24"/>
    <w:rsid w:val="006607AC"/>
    <w:rsid w:val="00660FFD"/>
    <w:rsid w:val="006611A2"/>
    <w:rsid w:val="00667B81"/>
    <w:rsid w:val="00667D6E"/>
    <w:rsid w:val="00681467"/>
    <w:rsid w:val="00681F10"/>
    <w:rsid w:val="006948FB"/>
    <w:rsid w:val="0069549B"/>
    <w:rsid w:val="006A1274"/>
    <w:rsid w:val="006B1394"/>
    <w:rsid w:val="006B38A8"/>
    <w:rsid w:val="006B43A9"/>
    <w:rsid w:val="006B4809"/>
    <w:rsid w:val="006B5AF2"/>
    <w:rsid w:val="006C104E"/>
    <w:rsid w:val="006D08E6"/>
    <w:rsid w:val="006D135D"/>
    <w:rsid w:val="006D3DA9"/>
    <w:rsid w:val="006D5E11"/>
    <w:rsid w:val="006E38D4"/>
    <w:rsid w:val="006F20DD"/>
    <w:rsid w:val="006F73B7"/>
    <w:rsid w:val="00701E28"/>
    <w:rsid w:val="0070398F"/>
    <w:rsid w:val="00721B08"/>
    <w:rsid w:val="00723248"/>
    <w:rsid w:val="007367A5"/>
    <w:rsid w:val="00742E13"/>
    <w:rsid w:val="00743FF0"/>
    <w:rsid w:val="007465F0"/>
    <w:rsid w:val="007555CE"/>
    <w:rsid w:val="007558C7"/>
    <w:rsid w:val="00755DB5"/>
    <w:rsid w:val="007628AF"/>
    <w:rsid w:val="00770854"/>
    <w:rsid w:val="00773984"/>
    <w:rsid w:val="00774F98"/>
    <w:rsid w:val="00776C2F"/>
    <w:rsid w:val="007857C7"/>
    <w:rsid w:val="00786275"/>
    <w:rsid w:val="00795282"/>
    <w:rsid w:val="007A4BFF"/>
    <w:rsid w:val="007A7D82"/>
    <w:rsid w:val="007B4432"/>
    <w:rsid w:val="007B6753"/>
    <w:rsid w:val="007C1D3F"/>
    <w:rsid w:val="007C5EBB"/>
    <w:rsid w:val="007C5ED5"/>
    <w:rsid w:val="007C70DF"/>
    <w:rsid w:val="007C7D01"/>
    <w:rsid w:val="007D201B"/>
    <w:rsid w:val="007D5EB2"/>
    <w:rsid w:val="007E5464"/>
    <w:rsid w:val="007E5AD3"/>
    <w:rsid w:val="007F3219"/>
    <w:rsid w:val="00802919"/>
    <w:rsid w:val="00810F11"/>
    <w:rsid w:val="00812AF3"/>
    <w:rsid w:val="00814C0B"/>
    <w:rsid w:val="00822BB8"/>
    <w:rsid w:val="00831BDF"/>
    <w:rsid w:val="00850E27"/>
    <w:rsid w:val="00857EDA"/>
    <w:rsid w:val="00865779"/>
    <w:rsid w:val="00867A72"/>
    <w:rsid w:val="00886DB5"/>
    <w:rsid w:val="008A110D"/>
    <w:rsid w:val="008A1181"/>
    <w:rsid w:val="008A4184"/>
    <w:rsid w:val="008A43D6"/>
    <w:rsid w:val="008A7FBA"/>
    <w:rsid w:val="008B2755"/>
    <w:rsid w:val="008B351E"/>
    <w:rsid w:val="008B7154"/>
    <w:rsid w:val="008C250B"/>
    <w:rsid w:val="008E5FDA"/>
    <w:rsid w:val="008E7FDD"/>
    <w:rsid w:val="008F06CA"/>
    <w:rsid w:val="008F3C32"/>
    <w:rsid w:val="008F423A"/>
    <w:rsid w:val="008F4793"/>
    <w:rsid w:val="008F6714"/>
    <w:rsid w:val="0090160B"/>
    <w:rsid w:val="009027AC"/>
    <w:rsid w:val="00910028"/>
    <w:rsid w:val="009179A2"/>
    <w:rsid w:val="009269DC"/>
    <w:rsid w:val="009312A5"/>
    <w:rsid w:val="0093225C"/>
    <w:rsid w:val="009335F9"/>
    <w:rsid w:val="009346E0"/>
    <w:rsid w:val="00937146"/>
    <w:rsid w:val="00937DFB"/>
    <w:rsid w:val="0094115E"/>
    <w:rsid w:val="009415F3"/>
    <w:rsid w:val="00947C84"/>
    <w:rsid w:val="00950083"/>
    <w:rsid w:val="009577BA"/>
    <w:rsid w:val="00967E20"/>
    <w:rsid w:val="00971D7C"/>
    <w:rsid w:val="00975C6A"/>
    <w:rsid w:val="00976EB5"/>
    <w:rsid w:val="00983391"/>
    <w:rsid w:val="00985EBA"/>
    <w:rsid w:val="009A03DF"/>
    <w:rsid w:val="009A05E9"/>
    <w:rsid w:val="009A39ED"/>
    <w:rsid w:val="009B7E34"/>
    <w:rsid w:val="009C1364"/>
    <w:rsid w:val="009C42FC"/>
    <w:rsid w:val="009C47EE"/>
    <w:rsid w:val="009D04A3"/>
    <w:rsid w:val="009D1BB3"/>
    <w:rsid w:val="009D2C41"/>
    <w:rsid w:val="009D3D01"/>
    <w:rsid w:val="009D5211"/>
    <w:rsid w:val="009D6CB0"/>
    <w:rsid w:val="009E11FE"/>
    <w:rsid w:val="009F554D"/>
    <w:rsid w:val="009F7995"/>
    <w:rsid w:val="00A040B4"/>
    <w:rsid w:val="00A048C0"/>
    <w:rsid w:val="00A07007"/>
    <w:rsid w:val="00A13C06"/>
    <w:rsid w:val="00A16628"/>
    <w:rsid w:val="00A216E9"/>
    <w:rsid w:val="00A2430A"/>
    <w:rsid w:val="00A2589E"/>
    <w:rsid w:val="00A30BBA"/>
    <w:rsid w:val="00A33088"/>
    <w:rsid w:val="00A359CB"/>
    <w:rsid w:val="00A37E9E"/>
    <w:rsid w:val="00A45F75"/>
    <w:rsid w:val="00A4753C"/>
    <w:rsid w:val="00A70048"/>
    <w:rsid w:val="00A70993"/>
    <w:rsid w:val="00A7259D"/>
    <w:rsid w:val="00A8111F"/>
    <w:rsid w:val="00A83639"/>
    <w:rsid w:val="00A853D1"/>
    <w:rsid w:val="00A913DF"/>
    <w:rsid w:val="00A9214A"/>
    <w:rsid w:val="00A95101"/>
    <w:rsid w:val="00AA5738"/>
    <w:rsid w:val="00AD322F"/>
    <w:rsid w:val="00AD73E2"/>
    <w:rsid w:val="00AE1035"/>
    <w:rsid w:val="00AE1906"/>
    <w:rsid w:val="00AE2A2C"/>
    <w:rsid w:val="00AE49CE"/>
    <w:rsid w:val="00AF4380"/>
    <w:rsid w:val="00AF5D1B"/>
    <w:rsid w:val="00AF7666"/>
    <w:rsid w:val="00B07AE4"/>
    <w:rsid w:val="00B10860"/>
    <w:rsid w:val="00B11D1D"/>
    <w:rsid w:val="00B12230"/>
    <w:rsid w:val="00B1566E"/>
    <w:rsid w:val="00B15CC2"/>
    <w:rsid w:val="00B15F67"/>
    <w:rsid w:val="00B2453A"/>
    <w:rsid w:val="00B365C3"/>
    <w:rsid w:val="00B410E6"/>
    <w:rsid w:val="00B4179B"/>
    <w:rsid w:val="00B45068"/>
    <w:rsid w:val="00B45FE0"/>
    <w:rsid w:val="00B55C27"/>
    <w:rsid w:val="00B65163"/>
    <w:rsid w:val="00B65E8A"/>
    <w:rsid w:val="00B673C5"/>
    <w:rsid w:val="00B7408B"/>
    <w:rsid w:val="00B752F8"/>
    <w:rsid w:val="00B75BCF"/>
    <w:rsid w:val="00B820B1"/>
    <w:rsid w:val="00B83CE6"/>
    <w:rsid w:val="00B844B2"/>
    <w:rsid w:val="00B90B60"/>
    <w:rsid w:val="00B94AD5"/>
    <w:rsid w:val="00B96313"/>
    <w:rsid w:val="00BA0517"/>
    <w:rsid w:val="00BA7BDD"/>
    <w:rsid w:val="00BA7BF9"/>
    <w:rsid w:val="00BB303A"/>
    <w:rsid w:val="00BB6AD8"/>
    <w:rsid w:val="00BB6D80"/>
    <w:rsid w:val="00BC1DF1"/>
    <w:rsid w:val="00BC51B1"/>
    <w:rsid w:val="00BC761E"/>
    <w:rsid w:val="00BD2A18"/>
    <w:rsid w:val="00BD6EA5"/>
    <w:rsid w:val="00BE1AEB"/>
    <w:rsid w:val="00BE4215"/>
    <w:rsid w:val="00BE511F"/>
    <w:rsid w:val="00BF00F7"/>
    <w:rsid w:val="00BF1EDC"/>
    <w:rsid w:val="00BF4D02"/>
    <w:rsid w:val="00C15B65"/>
    <w:rsid w:val="00C17B21"/>
    <w:rsid w:val="00C17C6A"/>
    <w:rsid w:val="00C23EC3"/>
    <w:rsid w:val="00C2496B"/>
    <w:rsid w:val="00C36EBA"/>
    <w:rsid w:val="00C37795"/>
    <w:rsid w:val="00C40E82"/>
    <w:rsid w:val="00C51863"/>
    <w:rsid w:val="00C52E1B"/>
    <w:rsid w:val="00C715F5"/>
    <w:rsid w:val="00C717BE"/>
    <w:rsid w:val="00C71A89"/>
    <w:rsid w:val="00C803FA"/>
    <w:rsid w:val="00C83314"/>
    <w:rsid w:val="00C8566F"/>
    <w:rsid w:val="00C85EBF"/>
    <w:rsid w:val="00C86339"/>
    <w:rsid w:val="00CA1E64"/>
    <w:rsid w:val="00CB016D"/>
    <w:rsid w:val="00CC2405"/>
    <w:rsid w:val="00CC4080"/>
    <w:rsid w:val="00CC6E16"/>
    <w:rsid w:val="00CD37A9"/>
    <w:rsid w:val="00CD6FBC"/>
    <w:rsid w:val="00CD7D38"/>
    <w:rsid w:val="00CE0CE0"/>
    <w:rsid w:val="00CE4B44"/>
    <w:rsid w:val="00CF2119"/>
    <w:rsid w:val="00CF3F7A"/>
    <w:rsid w:val="00CF6EA9"/>
    <w:rsid w:val="00D05703"/>
    <w:rsid w:val="00D146AB"/>
    <w:rsid w:val="00D1655B"/>
    <w:rsid w:val="00D3206A"/>
    <w:rsid w:val="00D3668B"/>
    <w:rsid w:val="00D51F07"/>
    <w:rsid w:val="00D52EDE"/>
    <w:rsid w:val="00D53F1E"/>
    <w:rsid w:val="00D54286"/>
    <w:rsid w:val="00D573F2"/>
    <w:rsid w:val="00D641A5"/>
    <w:rsid w:val="00D83FCA"/>
    <w:rsid w:val="00D84AC5"/>
    <w:rsid w:val="00DA2B53"/>
    <w:rsid w:val="00DA5991"/>
    <w:rsid w:val="00DB3A38"/>
    <w:rsid w:val="00DB56A8"/>
    <w:rsid w:val="00DB5AE3"/>
    <w:rsid w:val="00DB6B4E"/>
    <w:rsid w:val="00DC4104"/>
    <w:rsid w:val="00DC6B04"/>
    <w:rsid w:val="00DC7ABE"/>
    <w:rsid w:val="00DD43BA"/>
    <w:rsid w:val="00DD6F2B"/>
    <w:rsid w:val="00DE36A4"/>
    <w:rsid w:val="00DF0275"/>
    <w:rsid w:val="00DF2CA2"/>
    <w:rsid w:val="00DF34BB"/>
    <w:rsid w:val="00DF3B02"/>
    <w:rsid w:val="00DF75A3"/>
    <w:rsid w:val="00E009D7"/>
    <w:rsid w:val="00E0513C"/>
    <w:rsid w:val="00E154D5"/>
    <w:rsid w:val="00E21C67"/>
    <w:rsid w:val="00E22830"/>
    <w:rsid w:val="00E24535"/>
    <w:rsid w:val="00E32423"/>
    <w:rsid w:val="00E34767"/>
    <w:rsid w:val="00E429BD"/>
    <w:rsid w:val="00E504F9"/>
    <w:rsid w:val="00E53361"/>
    <w:rsid w:val="00E61883"/>
    <w:rsid w:val="00E63090"/>
    <w:rsid w:val="00E65568"/>
    <w:rsid w:val="00E65802"/>
    <w:rsid w:val="00E67A0A"/>
    <w:rsid w:val="00E701C4"/>
    <w:rsid w:val="00E71CC3"/>
    <w:rsid w:val="00E7695D"/>
    <w:rsid w:val="00E775BC"/>
    <w:rsid w:val="00E778F9"/>
    <w:rsid w:val="00E77F2A"/>
    <w:rsid w:val="00E86544"/>
    <w:rsid w:val="00E87EE3"/>
    <w:rsid w:val="00E92DE0"/>
    <w:rsid w:val="00E93D45"/>
    <w:rsid w:val="00EA178D"/>
    <w:rsid w:val="00EA6499"/>
    <w:rsid w:val="00EC11F2"/>
    <w:rsid w:val="00EC144A"/>
    <w:rsid w:val="00EC3962"/>
    <w:rsid w:val="00ED200C"/>
    <w:rsid w:val="00ED38BD"/>
    <w:rsid w:val="00ED422D"/>
    <w:rsid w:val="00ED66B3"/>
    <w:rsid w:val="00EE26D8"/>
    <w:rsid w:val="00EE4205"/>
    <w:rsid w:val="00EE5E18"/>
    <w:rsid w:val="00EE6436"/>
    <w:rsid w:val="00EF2853"/>
    <w:rsid w:val="00EF6D47"/>
    <w:rsid w:val="00EF7C3F"/>
    <w:rsid w:val="00F042A7"/>
    <w:rsid w:val="00F11E4D"/>
    <w:rsid w:val="00F14DB6"/>
    <w:rsid w:val="00F31D5C"/>
    <w:rsid w:val="00F3301B"/>
    <w:rsid w:val="00F33B66"/>
    <w:rsid w:val="00F51EBD"/>
    <w:rsid w:val="00F520E6"/>
    <w:rsid w:val="00F63121"/>
    <w:rsid w:val="00F73FCB"/>
    <w:rsid w:val="00F810BE"/>
    <w:rsid w:val="00F8122E"/>
    <w:rsid w:val="00F825B4"/>
    <w:rsid w:val="00F90485"/>
    <w:rsid w:val="00F921EE"/>
    <w:rsid w:val="00F9387F"/>
    <w:rsid w:val="00FA1B47"/>
    <w:rsid w:val="00FA1DCF"/>
    <w:rsid w:val="00FA252A"/>
    <w:rsid w:val="00FA4C37"/>
    <w:rsid w:val="00FA5B64"/>
    <w:rsid w:val="00FA6B26"/>
    <w:rsid w:val="00FA6C2C"/>
    <w:rsid w:val="00FB24EF"/>
    <w:rsid w:val="00FB2E8C"/>
    <w:rsid w:val="00FB39FC"/>
    <w:rsid w:val="00FC41E2"/>
    <w:rsid w:val="00FD19A1"/>
    <w:rsid w:val="00FD3093"/>
    <w:rsid w:val="00FD40E6"/>
    <w:rsid w:val="00FE76E2"/>
    <w:rsid w:val="00FF29E9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52FB"/>
  <w15:docId w15:val="{543B429C-C5B5-4A93-B9E6-D5E21EC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27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Nacci</dc:creator>
  <cp:lastModifiedBy>Angelo Nacci</cp:lastModifiedBy>
  <cp:revision>11</cp:revision>
  <dcterms:created xsi:type="dcterms:W3CDTF">2021-11-18T08:32:00Z</dcterms:created>
  <dcterms:modified xsi:type="dcterms:W3CDTF">2021-12-02T13:41:00Z</dcterms:modified>
</cp:coreProperties>
</file>