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9B1D" w14:textId="347C8A09" w:rsidR="00A641BA" w:rsidRPr="00A641BA" w:rsidRDefault="002662D4" w:rsidP="00027116">
      <w:pPr>
        <w:pStyle w:val="NormaleWeb"/>
        <w:shd w:val="clear" w:color="auto" w:fill="FFFFFF"/>
        <w:jc w:val="both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 xml:space="preserve">Commento SMA </w:t>
      </w:r>
      <w:proofErr w:type="spellStart"/>
      <w:r w:rsidR="00A641BA" w:rsidRPr="00A641BA">
        <w:rPr>
          <w:rFonts w:ascii="Times" w:hAnsi="Times"/>
          <w:b/>
          <w:sz w:val="18"/>
          <w:szCs w:val="18"/>
        </w:rPr>
        <w:t>CdS</w:t>
      </w:r>
      <w:proofErr w:type="spellEnd"/>
      <w:r w:rsidR="00A641BA" w:rsidRPr="00A641BA">
        <w:rPr>
          <w:rFonts w:ascii="Times" w:hAnsi="Times"/>
          <w:b/>
          <w:sz w:val="18"/>
          <w:szCs w:val="18"/>
        </w:rPr>
        <w:t xml:space="preserve"> </w:t>
      </w:r>
      <w:r>
        <w:rPr>
          <w:rFonts w:ascii="Times" w:hAnsi="Times"/>
          <w:b/>
          <w:sz w:val="18"/>
          <w:szCs w:val="18"/>
        </w:rPr>
        <w:t xml:space="preserve">Magistrale </w:t>
      </w:r>
      <w:r w:rsidR="00A641BA" w:rsidRPr="00A641BA">
        <w:rPr>
          <w:rFonts w:ascii="Times" w:hAnsi="Times"/>
          <w:b/>
          <w:sz w:val="18"/>
          <w:szCs w:val="18"/>
        </w:rPr>
        <w:t>Computer Science</w:t>
      </w:r>
    </w:p>
    <w:p w14:paraId="2009048A" w14:textId="6318FC01" w:rsidR="00AF07B2" w:rsidRDefault="00F634AF" w:rsidP="00027116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Gli avvii di carriera (iC00a) segnalano un netto miglioramento passando da 37 unità del 2019 a 57 nel 2020, come confermato da tutti gli altri indicatori del gruppo (iC00c, iC00d, iC00e, iC00f). </w:t>
      </w:r>
      <w:bookmarkStart w:id="0" w:name="_GoBack"/>
      <w:bookmarkEnd w:id="0"/>
    </w:p>
    <w:p w14:paraId="64AEE023" w14:textId="11ED9FCF" w:rsidR="00A35511" w:rsidRDefault="00AF07B2" w:rsidP="00027116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Tra gli indicatori del Gruppo A </w:t>
      </w:r>
      <w:r w:rsidR="00037819">
        <w:rPr>
          <w:rFonts w:ascii="Times" w:hAnsi="Times"/>
          <w:sz w:val="18"/>
          <w:szCs w:val="18"/>
        </w:rPr>
        <w:t xml:space="preserve">– Indicatori Didattica - </w:t>
      </w:r>
      <w:r>
        <w:rPr>
          <w:rFonts w:ascii="Times" w:hAnsi="Times"/>
          <w:sz w:val="18"/>
          <w:szCs w:val="18"/>
        </w:rPr>
        <w:t xml:space="preserve">si evidenzia un notevole aumento della percentuale di laureati entro la durata normale del corso (iC02) che passa dal 38,7 al 65,5% leggermente al di sotto della media dell’area geografica ma superiore a quella nazionale. L’indicatore iC04, percentuale di studenti laureati in altro ateneo </w:t>
      </w:r>
      <w:r w:rsidR="00217B95" w:rsidRPr="00525577">
        <w:rPr>
          <w:rFonts w:ascii="Times" w:hAnsi="Times"/>
          <w:sz w:val="18"/>
          <w:szCs w:val="18"/>
        </w:rPr>
        <w:t xml:space="preserve">è pari a 0, è da sottolineare però che non sono conteggiati </w:t>
      </w:r>
      <w:r w:rsidR="00011819">
        <w:rPr>
          <w:rFonts w:ascii="Times" w:hAnsi="Times"/>
          <w:sz w:val="18"/>
          <w:szCs w:val="18"/>
        </w:rPr>
        <w:t>15</w:t>
      </w:r>
      <w:r w:rsidR="00011819" w:rsidRPr="00525577">
        <w:rPr>
          <w:rFonts w:ascii="Times" w:hAnsi="Times"/>
          <w:sz w:val="18"/>
          <w:szCs w:val="18"/>
        </w:rPr>
        <w:t xml:space="preserve"> </w:t>
      </w:r>
      <w:r w:rsidR="00217B95" w:rsidRPr="00525577">
        <w:rPr>
          <w:rFonts w:ascii="Times" w:hAnsi="Times"/>
          <w:sz w:val="18"/>
          <w:szCs w:val="18"/>
        </w:rPr>
        <w:t xml:space="preserve">studenti internazionali </w:t>
      </w:r>
      <w:r w:rsidR="00B869D3">
        <w:rPr>
          <w:rFonts w:ascii="Times" w:hAnsi="Times"/>
          <w:sz w:val="18"/>
          <w:szCs w:val="18"/>
        </w:rPr>
        <w:t>immatricolati nell’a.a. 20-21</w:t>
      </w:r>
      <w:r w:rsidR="00390D7D">
        <w:rPr>
          <w:rFonts w:ascii="Times" w:hAnsi="Times"/>
          <w:sz w:val="18"/>
          <w:szCs w:val="18"/>
        </w:rPr>
        <w:t>. La percentuale di laureati occupati a tre anni dal titolo (iC07) è al 100% per l’anno 2020</w:t>
      </w:r>
      <w:r w:rsidR="00A35511">
        <w:rPr>
          <w:rFonts w:ascii="Times" w:hAnsi="Times"/>
          <w:sz w:val="18"/>
          <w:szCs w:val="18"/>
        </w:rPr>
        <w:t>, così come pure gli indicatori (iC07 BIS e TER).</w:t>
      </w:r>
      <w:r w:rsidR="00525577">
        <w:rPr>
          <w:rFonts w:ascii="Times" w:hAnsi="Times"/>
          <w:sz w:val="18"/>
          <w:szCs w:val="18"/>
        </w:rPr>
        <w:t xml:space="preserve"> </w:t>
      </w:r>
    </w:p>
    <w:p w14:paraId="5D65D590" w14:textId="360F362F" w:rsidR="004C36B7" w:rsidRDefault="004C36B7" w:rsidP="004C36B7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Continua il trend nullo degli </w:t>
      </w:r>
      <w:r w:rsidRPr="006C010C">
        <w:rPr>
          <w:rFonts w:ascii="Times" w:hAnsi="Times"/>
          <w:sz w:val="18"/>
          <w:szCs w:val="18"/>
        </w:rPr>
        <w:t>indicatori iC10</w:t>
      </w:r>
      <w:r>
        <w:rPr>
          <w:rFonts w:ascii="Times" w:hAnsi="Times"/>
          <w:sz w:val="18"/>
          <w:szCs w:val="18"/>
        </w:rPr>
        <w:t>,</w:t>
      </w:r>
      <w:r w:rsidRPr="006C010C">
        <w:rPr>
          <w:rFonts w:ascii="Times" w:hAnsi="Times"/>
          <w:sz w:val="18"/>
          <w:szCs w:val="18"/>
        </w:rPr>
        <w:t xml:space="preserve"> iC11</w:t>
      </w:r>
      <w:r w:rsidR="00C57077">
        <w:rPr>
          <w:rFonts w:ascii="Times" w:hAnsi="Times"/>
          <w:sz w:val="18"/>
          <w:szCs w:val="18"/>
        </w:rPr>
        <w:t xml:space="preserve"> </w:t>
      </w:r>
      <w:r>
        <w:rPr>
          <w:rFonts w:ascii="Times" w:hAnsi="Times"/>
          <w:sz w:val="18"/>
          <w:szCs w:val="18"/>
        </w:rPr>
        <w:t xml:space="preserve">che </w:t>
      </w:r>
      <w:r w:rsidRPr="006C010C">
        <w:rPr>
          <w:rFonts w:ascii="Times" w:hAnsi="Times"/>
          <w:sz w:val="18"/>
          <w:szCs w:val="18"/>
        </w:rPr>
        <w:t>sottolineano una mancanza di studenti impegnati in progetti di internazionalizzazione.</w:t>
      </w:r>
      <w:r>
        <w:rPr>
          <w:rFonts w:ascii="Times" w:hAnsi="Times"/>
          <w:sz w:val="18"/>
          <w:szCs w:val="18"/>
        </w:rPr>
        <w:t xml:space="preserve"> Anche l’indicatore iC12, percentuale di iscritti al primo anno che hanno conseguito il precedente titolo di studio all’estero, è tornato a 0%</w:t>
      </w:r>
      <w:r w:rsidR="00C57077">
        <w:rPr>
          <w:rFonts w:ascii="Times" w:hAnsi="Times"/>
          <w:sz w:val="18"/>
          <w:szCs w:val="18"/>
        </w:rPr>
        <w:t xml:space="preserve">, sebbene ci siano </w:t>
      </w:r>
      <w:r w:rsidR="00C57077" w:rsidRPr="00525577">
        <w:rPr>
          <w:rFonts w:ascii="Times" w:hAnsi="Times"/>
          <w:sz w:val="18"/>
          <w:szCs w:val="18"/>
        </w:rPr>
        <w:t xml:space="preserve">studenti internazionali che frequentano già il secondo anno del </w:t>
      </w:r>
      <w:proofErr w:type="spellStart"/>
      <w:r w:rsidR="00C57077" w:rsidRPr="00525577">
        <w:rPr>
          <w:rFonts w:ascii="Times" w:hAnsi="Times"/>
          <w:sz w:val="18"/>
          <w:szCs w:val="18"/>
        </w:rPr>
        <w:t>CdS</w:t>
      </w:r>
      <w:proofErr w:type="spellEnd"/>
      <w:r w:rsidR="00C57077">
        <w:rPr>
          <w:rFonts w:ascii="Times" w:hAnsi="Times"/>
          <w:sz w:val="18"/>
          <w:szCs w:val="18"/>
        </w:rPr>
        <w:t>.</w:t>
      </w:r>
    </w:p>
    <w:p w14:paraId="7B24F66E" w14:textId="5F3852C3" w:rsidR="00AD1C63" w:rsidRDefault="00AD1C63" w:rsidP="00AD1C63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</w:rPr>
      </w:pPr>
      <w:r w:rsidRPr="006C010C">
        <w:rPr>
          <w:rFonts w:ascii="Times" w:hAnsi="Times"/>
          <w:sz w:val="18"/>
          <w:szCs w:val="18"/>
        </w:rPr>
        <w:t>Gli indicatori per la valutazione</w:t>
      </w:r>
      <w:r>
        <w:rPr>
          <w:rFonts w:ascii="Times" w:hAnsi="Times"/>
          <w:sz w:val="18"/>
          <w:szCs w:val="18"/>
        </w:rPr>
        <w:t xml:space="preserve"> </w:t>
      </w:r>
      <w:r w:rsidRPr="006C010C">
        <w:rPr>
          <w:rFonts w:ascii="Times" w:hAnsi="Times"/>
          <w:sz w:val="18"/>
          <w:szCs w:val="18"/>
        </w:rPr>
        <w:t>dell</w:t>
      </w:r>
      <w:r>
        <w:rPr>
          <w:rFonts w:ascii="Times" w:hAnsi="Times"/>
          <w:sz w:val="18"/>
          <w:szCs w:val="18"/>
        </w:rPr>
        <w:t xml:space="preserve">a </w:t>
      </w:r>
      <w:r w:rsidRPr="006C010C">
        <w:rPr>
          <w:rFonts w:ascii="Times" w:hAnsi="Times"/>
          <w:sz w:val="18"/>
          <w:szCs w:val="18"/>
        </w:rPr>
        <w:t>didattica</w:t>
      </w:r>
      <w:r>
        <w:rPr>
          <w:rFonts w:ascii="Times" w:hAnsi="Times"/>
          <w:sz w:val="18"/>
          <w:szCs w:val="18"/>
        </w:rPr>
        <w:t xml:space="preserve"> </w:t>
      </w:r>
      <w:r w:rsidRPr="006C010C">
        <w:rPr>
          <w:rFonts w:ascii="Times" w:hAnsi="Times"/>
          <w:sz w:val="18"/>
          <w:szCs w:val="18"/>
        </w:rPr>
        <w:t>iC13</w:t>
      </w:r>
      <w:r>
        <w:rPr>
          <w:rFonts w:ascii="Times" w:hAnsi="Times"/>
          <w:sz w:val="18"/>
          <w:szCs w:val="18"/>
        </w:rPr>
        <w:t>, percentuale di CFU conseguiti al primo anno su CFU da conseguire, ha invertito la tendenza positiva del triennio 2016-2018</w:t>
      </w:r>
      <w:r w:rsidR="00235BFF">
        <w:rPr>
          <w:rFonts w:ascii="Times" w:hAnsi="Times"/>
          <w:sz w:val="18"/>
          <w:szCs w:val="18"/>
        </w:rPr>
        <w:t xml:space="preserve">. Anche </w:t>
      </w:r>
      <w:r>
        <w:rPr>
          <w:rFonts w:ascii="Times" w:hAnsi="Times"/>
          <w:sz w:val="18"/>
          <w:szCs w:val="18"/>
        </w:rPr>
        <w:t xml:space="preserve">l’indicatore iC16, percentuale di studenti che proseguono al II anno avendo acquisito almeno 40 CFU al I anno, </w:t>
      </w:r>
      <w:r w:rsidR="00235BFF">
        <w:rPr>
          <w:rFonts w:ascii="Times" w:hAnsi="Times"/>
          <w:sz w:val="18"/>
          <w:szCs w:val="18"/>
        </w:rPr>
        <w:t xml:space="preserve">e l’indicatore iC16BIS, percentuale di studenti che proseguono al II anno avendo conseguito almeno i 2/3 dei CFU previsti al I anno, </w:t>
      </w:r>
      <w:r w:rsidR="002662D4">
        <w:rPr>
          <w:rFonts w:ascii="Times" w:hAnsi="Times"/>
          <w:sz w:val="18"/>
          <w:szCs w:val="18"/>
        </w:rPr>
        <w:t>sono diminuiti sensibilmente,</w:t>
      </w:r>
      <w:r>
        <w:rPr>
          <w:rFonts w:ascii="Times" w:hAnsi="Times"/>
          <w:sz w:val="18"/>
          <w:szCs w:val="18"/>
        </w:rPr>
        <w:t xml:space="preserve"> passando dal 62,9% al 20%</w:t>
      </w:r>
      <w:r w:rsidR="00A641BA">
        <w:rPr>
          <w:rFonts w:ascii="Times" w:hAnsi="Times"/>
          <w:sz w:val="18"/>
          <w:szCs w:val="18"/>
        </w:rPr>
        <w:t xml:space="preserve">. </w:t>
      </w:r>
      <w:r w:rsidR="00235BFF">
        <w:rPr>
          <w:rFonts w:ascii="Times" w:hAnsi="Times"/>
          <w:sz w:val="18"/>
          <w:szCs w:val="18"/>
        </w:rPr>
        <w:t xml:space="preserve">Dato in controtendenza con la percentuale di immatricolati che si laureano entro la durata normale del </w:t>
      </w:r>
      <w:proofErr w:type="spellStart"/>
      <w:r w:rsidR="00235BFF">
        <w:rPr>
          <w:rFonts w:ascii="Times" w:hAnsi="Times"/>
          <w:sz w:val="18"/>
          <w:szCs w:val="18"/>
        </w:rPr>
        <w:t>CdS</w:t>
      </w:r>
      <w:proofErr w:type="spellEnd"/>
      <w:r w:rsidR="00235BFF">
        <w:rPr>
          <w:rFonts w:ascii="Times" w:hAnsi="Times"/>
          <w:sz w:val="18"/>
          <w:szCs w:val="18"/>
        </w:rPr>
        <w:t xml:space="preserve"> (iC17) che segnala un trend positivo dal 2016, avvicinandosi alla media dell’area geografica e posizionandosi al di sopra della media nazionale.  </w:t>
      </w:r>
    </w:p>
    <w:p w14:paraId="1F2AC7F3" w14:textId="7AB2F613" w:rsidR="00AD1C63" w:rsidRPr="006C010C" w:rsidRDefault="00F449DF" w:rsidP="00AD1C63">
      <w:pPr>
        <w:pStyle w:val="NormaleWeb"/>
        <w:shd w:val="clear" w:color="auto" w:fill="FFFFFF"/>
        <w:jc w:val="both"/>
      </w:pPr>
      <w:r w:rsidRPr="00E0522E">
        <w:rPr>
          <w:rFonts w:ascii="Times" w:hAnsi="Times"/>
          <w:sz w:val="18"/>
          <w:szCs w:val="18"/>
        </w:rPr>
        <w:t>Il trend in discesa degli indicatori iC19</w:t>
      </w:r>
      <w:r w:rsidR="00037819">
        <w:rPr>
          <w:rFonts w:ascii="Times" w:hAnsi="Times"/>
          <w:sz w:val="18"/>
          <w:szCs w:val="18"/>
        </w:rPr>
        <w:t xml:space="preserve"> (Percentuale ore di docenza erogata da docenti assunti a tempo indeterminato)</w:t>
      </w:r>
      <w:r w:rsidRPr="00E0522E">
        <w:rPr>
          <w:rFonts w:ascii="Times" w:hAnsi="Times"/>
          <w:sz w:val="18"/>
          <w:szCs w:val="18"/>
        </w:rPr>
        <w:t>, iC19 BIS</w:t>
      </w:r>
      <w:r w:rsidR="00037819">
        <w:rPr>
          <w:rFonts w:ascii="Times" w:hAnsi="Times"/>
          <w:sz w:val="18"/>
          <w:szCs w:val="18"/>
        </w:rPr>
        <w:t xml:space="preserve"> (Ore di docenza erogata da docenti assunti a tempo indeterminato e ricercatori di tipo B)</w:t>
      </w:r>
      <w:r w:rsidRPr="00E0522E">
        <w:rPr>
          <w:rFonts w:ascii="Times" w:hAnsi="Times"/>
          <w:sz w:val="18"/>
          <w:szCs w:val="18"/>
        </w:rPr>
        <w:t xml:space="preserve"> s</w:t>
      </w:r>
      <w:r w:rsidR="00235BFF" w:rsidRPr="00E0522E">
        <w:rPr>
          <w:rFonts w:ascii="Times" w:hAnsi="Times"/>
          <w:sz w:val="18"/>
          <w:szCs w:val="18"/>
        </w:rPr>
        <w:t>ottolinea</w:t>
      </w:r>
      <w:r w:rsidRPr="00E0522E">
        <w:rPr>
          <w:rFonts w:ascii="Times" w:hAnsi="Times"/>
          <w:sz w:val="18"/>
          <w:szCs w:val="18"/>
        </w:rPr>
        <w:t>no</w:t>
      </w:r>
      <w:r w:rsidR="00235BFF" w:rsidRPr="00E0522E">
        <w:rPr>
          <w:rFonts w:ascii="Times" w:hAnsi="Times"/>
          <w:sz w:val="18"/>
          <w:szCs w:val="18"/>
        </w:rPr>
        <w:t xml:space="preserve"> il maggior impiego di </w:t>
      </w:r>
      <w:r w:rsidR="00C57077" w:rsidRPr="00E0522E">
        <w:rPr>
          <w:rFonts w:ascii="Times" w:hAnsi="Times"/>
          <w:sz w:val="18"/>
          <w:szCs w:val="18"/>
        </w:rPr>
        <w:t xml:space="preserve">ricercatori di tipo A </w:t>
      </w:r>
      <w:r w:rsidR="00235BFF" w:rsidRPr="00E0522E">
        <w:rPr>
          <w:rFonts w:ascii="Times" w:hAnsi="Times"/>
          <w:sz w:val="18"/>
          <w:szCs w:val="18"/>
        </w:rPr>
        <w:t>per le attività didattiche.</w:t>
      </w:r>
      <w:r w:rsidR="00E0522E">
        <w:rPr>
          <w:rFonts w:ascii="Times" w:hAnsi="Times"/>
          <w:sz w:val="18"/>
          <w:szCs w:val="18"/>
        </w:rPr>
        <w:t xml:space="preserve"> Entrambi gli indicatori sono sostanzialmente in linea con la media geografica e al di sopra della media nazionale.</w:t>
      </w:r>
    </w:p>
    <w:p w14:paraId="2F52906A" w14:textId="758F8520" w:rsidR="00390D7D" w:rsidRDefault="00F449DF" w:rsidP="00027116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</w:rPr>
      </w:pPr>
      <w:r w:rsidRPr="00A641BA">
        <w:rPr>
          <w:rFonts w:ascii="Times" w:hAnsi="Times"/>
          <w:sz w:val="18"/>
          <w:szCs w:val="18"/>
        </w:rPr>
        <w:t xml:space="preserve">Gli indicatori sul percorso di studi e sulla regolarità delle carriere (iC21, iC22)  sono in diminuzione, sebbene l’indicatore iC23, percentuale di immatricolati che proseguono la carriera al secondo anno in un differente </w:t>
      </w:r>
      <w:proofErr w:type="spellStart"/>
      <w:r w:rsidRPr="00A641BA">
        <w:rPr>
          <w:rFonts w:ascii="Times" w:hAnsi="Times"/>
          <w:sz w:val="18"/>
          <w:szCs w:val="18"/>
        </w:rPr>
        <w:t>CdS</w:t>
      </w:r>
      <w:proofErr w:type="spellEnd"/>
      <w:r w:rsidRPr="00A641BA">
        <w:rPr>
          <w:rFonts w:ascii="Times" w:hAnsi="Times"/>
          <w:sz w:val="18"/>
          <w:szCs w:val="18"/>
        </w:rPr>
        <w:t xml:space="preserve">, sia a 0% sottolineando che gli studenti non si trasferiscono in altri </w:t>
      </w:r>
      <w:proofErr w:type="spellStart"/>
      <w:r w:rsidRPr="00A641BA">
        <w:rPr>
          <w:rFonts w:ascii="Times" w:hAnsi="Times"/>
          <w:sz w:val="18"/>
          <w:szCs w:val="18"/>
        </w:rPr>
        <w:t>CdS</w:t>
      </w:r>
      <w:proofErr w:type="spellEnd"/>
      <w:r w:rsidRPr="00A641BA">
        <w:rPr>
          <w:rFonts w:ascii="Times" w:hAnsi="Times"/>
          <w:sz w:val="18"/>
          <w:szCs w:val="18"/>
        </w:rPr>
        <w:t>, al più abbandonano (iC24</w:t>
      </w:r>
      <w:r w:rsidR="00E0522E" w:rsidRPr="00A641BA">
        <w:rPr>
          <w:rFonts w:ascii="Times" w:hAnsi="Times"/>
          <w:sz w:val="18"/>
          <w:szCs w:val="18"/>
        </w:rPr>
        <w:t xml:space="preserve"> – in aumento</w:t>
      </w:r>
      <w:r w:rsidRPr="00A641BA">
        <w:rPr>
          <w:rFonts w:ascii="Times" w:hAnsi="Times"/>
          <w:sz w:val="18"/>
          <w:szCs w:val="18"/>
        </w:rPr>
        <w:t>), questo probabilmente perché durante il percorso universitario gli studenti sono impegnati in attività lavorative che poi portano ad un abbandono degli studi.</w:t>
      </w:r>
    </w:p>
    <w:p w14:paraId="75DD88F1" w14:textId="1D439414" w:rsidR="00E30EB4" w:rsidRDefault="00E30EB4" w:rsidP="00027116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La soddisfazione del </w:t>
      </w:r>
      <w:proofErr w:type="spellStart"/>
      <w:r>
        <w:rPr>
          <w:rFonts w:ascii="Times" w:hAnsi="Times"/>
          <w:sz w:val="18"/>
          <w:szCs w:val="18"/>
        </w:rPr>
        <w:t>CdS</w:t>
      </w:r>
      <w:proofErr w:type="spellEnd"/>
      <w:r>
        <w:rPr>
          <w:rFonts w:ascii="Times" w:hAnsi="Times"/>
          <w:sz w:val="18"/>
          <w:szCs w:val="18"/>
        </w:rPr>
        <w:t xml:space="preserve"> (iC25) è in calo passando dall’88,5% all’84,6% ed è nettamente inferiore sia alla media geografica (94,4%) che alla media nazionale (93,7%).</w:t>
      </w:r>
      <w:r w:rsidR="00E0522E">
        <w:rPr>
          <w:rFonts w:ascii="Times" w:hAnsi="Times"/>
          <w:sz w:val="18"/>
          <w:szCs w:val="18"/>
        </w:rPr>
        <w:t xml:space="preserve"> Proprio per il trend negativo della soddisfazione è stato modificato e ristrutturato tutto l’ordinamento che è attivo dall’a.a. 19-20, occorrerà verificare i dati nei prossimi anni.</w:t>
      </w:r>
    </w:p>
    <w:p w14:paraId="30333F14" w14:textId="6BC4FFBF" w:rsidR="000316F8" w:rsidRDefault="00567CF8" w:rsidP="00027116">
      <w:pPr>
        <w:pStyle w:val="NormaleWeb"/>
        <w:shd w:val="clear" w:color="auto" w:fill="FFFFFF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Le percentuali di laureati occupati ad un anno dal titolo (</w:t>
      </w:r>
      <w:r w:rsidR="00027116" w:rsidRPr="006C010C">
        <w:rPr>
          <w:rFonts w:ascii="Times" w:hAnsi="Times"/>
          <w:sz w:val="18"/>
          <w:szCs w:val="18"/>
        </w:rPr>
        <w:t>iC26</w:t>
      </w:r>
      <w:r>
        <w:rPr>
          <w:rFonts w:ascii="Times" w:hAnsi="Times"/>
          <w:sz w:val="18"/>
          <w:szCs w:val="18"/>
        </w:rPr>
        <w:t>,</w:t>
      </w:r>
      <w:r w:rsidR="00027116" w:rsidRPr="006C010C">
        <w:rPr>
          <w:rFonts w:ascii="Times" w:hAnsi="Times"/>
          <w:sz w:val="18"/>
          <w:szCs w:val="18"/>
        </w:rPr>
        <w:t xml:space="preserve"> iC26BIS, iC26</w:t>
      </w:r>
      <w:proofErr w:type="gramStart"/>
      <w:r w:rsidR="00027116" w:rsidRPr="006C010C">
        <w:rPr>
          <w:rFonts w:ascii="Times" w:hAnsi="Times"/>
          <w:sz w:val="18"/>
          <w:szCs w:val="18"/>
        </w:rPr>
        <w:t>TER</w:t>
      </w:r>
      <w:r>
        <w:rPr>
          <w:rFonts w:ascii="Times" w:hAnsi="Times"/>
          <w:sz w:val="18"/>
          <w:szCs w:val="18"/>
        </w:rPr>
        <w:t>)</w:t>
      </w:r>
      <w:r w:rsidR="00027116" w:rsidRPr="006C010C">
        <w:rPr>
          <w:rFonts w:ascii="Times" w:hAnsi="Times"/>
          <w:sz w:val="18"/>
          <w:szCs w:val="18"/>
        </w:rPr>
        <w:t xml:space="preserve"> </w:t>
      </w:r>
      <w:r>
        <w:rPr>
          <w:rFonts w:ascii="Times" w:hAnsi="Times"/>
          <w:sz w:val="18"/>
          <w:szCs w:val="18"/>
        </w:rPr>
        <w:t xml:space="preserve"> sono</w:t>
      </w:r>
      <w:proofErr w:type="gramEnd"/>
      <w:r w:rsidR="00697585">
        <w:rPr>
          <w:rFonts w:ascii="Times" w:hAnsi="Times"/>
          <w:sz w:val="18"/>
          <w:szCs w:val="18"/>
        </w:rPr>
        <w:t xml:space="preserve"> </w:t>
      </w:r>
      <w:r w:rsidR="00027116" w:rsidRPr="006C010C">
        <w:rPr>
          <w:rFonts w:ascii="Times" w:hAnsi="Times"/>
          <w:sz w:val="18"/>
          <w:szCs w:val="18"/>
        </w:rPr>
        <w:t>in</w:t>
      </w:r>
      <w:r w:rsidR="00697585">
        <w:rPr>
          <w:rFonts w:ascii="Times" w:hAnsi="Times"/>
          <w:sz w:val="18"/>
          <w:szCs w:val="18"/>
        </w:rPr>
        <w:t xml:space="preserve"> sensibile</w:t>
      </w:r>
      <w:r w:rsidR="00027116" w:rsidRPr="006C010C">
        <w:rPr>
          <w:rFonts w:ascii="Times" w:hAnsi="Times"/>
          <w:sz w:val="18"/>
          <w:szCs w:val="18"/>
        </w:rPr>
        <w:t xml:space="preserve"> </w:t>
      </w:r>
      <w:r w:rsidR="00E30EB4">
        <w:rPr>
          <w:rFonts w:ascii="Times" w:hAnsi="Times"/>
          <w:sz w:val="18"/>
          <w:szCs w:val="18"/>
        </w:rPr>
        <w:t>diminuzione</w:t>
      </w:r>
      <w:r w:rsidR="00697585">
        <w:rPr>
          <w:rFonts w:ascii="Times" w:hAnsi="Times"/>
          <w:sz w:val="18"/>
          <w:szCs w:val="18"/>
        </w:rPr>
        <w:t xml:space="preserve"> rispetto al 201</w:t>
      </w:r>
      <w:r w:rsidR="00E30EB4">
        <w:rPr>
          <w:rFonts w:ascii="Times" w:hAnsi="Times"/>
          <w:sz w:val="18"/>
          <w:szCs w:val="18"/>
        </w:rPr>
        <w:t>9</w:t>
      </w:r>
      <w:r w:rsidR="00697585">
        <w:rPr>
          <w:rFonts w:ascii="Times" w:hAnsi="Times"/>
          <w:sz w:val="18"/>
          <w:szCs w:val="18"/>
        </w:rPr>
        <w:t xml:space="preserve"> (</w:t>
      </w:r>
      <w:r w:rsidR="00E30EB4">
        <w:rPr>
          <w:rFonts w:ascii="Times" w:hAnsi="Times"/>
          <w:sz w:val="18"/>
          <w:szCs w:val="18"/>
        </w:rPr>
        <w:t xml:space="preserve">-13,3 </w:t>
      </w:r>
      <w:r w:rsidR="00697585">
        <w:rPr>
          <w:rFonts w:ascii="Times" w:hAnsi="Times"/>
          <w:sz w:val="18"/>
          <w:szCs w:val="18"/>
        </w:rPr>
        <w:t xml:space="preserve">e risultano </w:t>
      </w:r>
      <w:r w:rsidR="00D16287">
        <w:rPr>
          <w:rFonts w:ascii="Times" w:hAnsi="Times"/>
          <w:sz w:val="18"/>
          <w:szCs w:val="18"/>
        </w:rPr>
        <w:t xml:space="preserve">leggermente inferiori </w:t>
      </w:r>
      <w:r w:rsidR="00697585" w:rsidRPr="006C010C">
        <w:rPr>
          <w:rFonts w:ascii="Times" w:hAnsi="Times"/>
          <w:sz w:val="18"/>
          <w:szCs w:val="18"/>
        </w:rPr>
        <w:t>alle medie geografica e nazionale</w:t>
      </w:r>
      <w:r w:rsidR="00027116" w:rsidRPr="006C010C">
        <w:rPr>
          <w:rFonts w:ascii="Times" w:hAnsi="Times"/>
          <w:sz w:val="18"/>
          <w:szCs w:val="18"/>
        </w:rPr>
        <w:t>.</w:t>
      </w:r>
      <w:r w:rsidR="00E0522E">
        <w:rPr>
          <w:rFonts w:ascii="Times" w:hAnsi="Times"/>
          <w:sz w:val="18"/>
          <w:szCs w:val="18"/>
        </w:rPr>
        <w:t xml:space="preserve"> Probabilmente il dato è influenzato dalla pandemia.</w:t>
      </w:r>
    </w:p>
    <w:p w14:paraId="3907AC5F" w14:textId="2DE45AFB" w:rsidR="00027116" w:rsidRPr="000316F8" w:rsidRDefault="00027116" w:rsidP="00027116">
      <w:pPr>
        <w:pStyle w:val="NormaleWeb"/>
        <w:shd w:val="clear" w:color="auto" w:fill="FFFFFF"/>
        <w:rPr>
          <w:rFonts w:ascii="Times" w:hAnsi="Times"/>
          <w:sz w:val="18"/>
          <w:szCs w:val="18"/>
        </w:rPr>
      </w:pPr>
      <w:r w:rsidRPr="006C010C">
        <w:rPr>
          <w:rFonts w:ascii="Times" w:hAnsi="Times"/>
          <w:sz w:val="18"/>
          <w:szCs w:val="18"/>
        </w:rPr>
        <w:t>Gli indicatori</w:t>
      </w:r>
      <w:r w:rsidR="00567CF8">
        <w:rPr>
          <w:rFonts w:ascii="Times" w:hAnsi="Times"/>
          <w:sz w:val="18"/>
          <w:szCs w:val="18"/>
        </w:rPr>
        <w:t xml:space="preserve"> </w:t>
      </w:r>
      <w:r w:rsidR="00567CF8" w:rsidRPr="006C010C">
        <w:rPr>
          <w:rFonts w:ascii="Times" w:hAnsi="Times"/>
          <w:sz w:val="18"/>
          <w:szCs w:val="18"/>
        </w:rPr>
        <w:t>iC27</w:t>
      </w:r>
      <w:r w:rsidR="00567CF8">
        <w:rPr>
          <w:rFonts w:ascii="Times" w:hAnsi="Times"/>
          <w:sz w:val="18"/>
          <w:szCs w:val="18"/>
        </w:rPr>
        <w:t xml:space="preserve">, rapporto studenti iscritti/docenti, e </w:t>
      </w:r>
      <w:r w:rsidR="00567CF8" w:rsidRPr="006C010C">
        <w:rPr>
          <w:rFonts w:ascii="Times" w:hAnsi="Times"/>
          <w:sz w:val="18"/>
          <w:szCs w:val="18"/>
        </w:rPr>
        <w:t>iC28</w:t>
      </w:r>
      <w:r w:rsidR="00567CF8">
        <w:rPr>
          <w:rFonts w:ascii="Times" w:hAnsi="Times"/>
          <w:sz w:val="18"/>
          <w:szCs w:val="18"/>
        </w:rPr>
        <w:t xml:space="preserve">, rapporto studenti iscritti al primo anno/docenti degli insegnamenti del </w:t>
      </w:r>
      <w:proofErr w:type="gramStart"/>
      <w:r w:rsidR="00567CF8">
        <w:rPr>
          <w:rFonts w:ascii="Times" w:hAnsi="Times"/>
          <w:sz w:val="18"/>
          <w:szCs w:val="18"/>
        </w:rPr>
        <w:t>i anno</w:t>
      </w:r>
      <w:proofErr w:type="gramEnd"/>
      <w:r w:rsidR="00567CF8">
        <w:rPr>
          <w:rFonts w:ascii="Times" w:hAnsi="Times"/>
          <w:sz w:val="18"/>
          <w:szCs w:val="18"/>
        </w:rPr>
        <w:t>,</w:t>
      </w:r>
      <w:r w:rsidR="00C60DB3">
        <w:rPr>
          <w:rFonts w:ascii="Times" w:hAnsi="Times"/>
          <w:sz w:val="18"/>
          <w:szCs w:val="18"/>
        </w:rPr>
        <w:t xml:space="preserve"> </w:t>
      </w:r>
      <w:r w:rsidR="00A641BA">
        <w:rPr>
          <w:rFonts w:ascii="Times" w:hAnsi="Times"/>
          <w:sz w:val="18"/>
          <w:szCs w:val="18"/>
        </w:rPr>
        <w:t xml:space="preserve">decrescono e quindi vanno intesi come </w:t>
      </w:r>
      <w:r w:rsidR="000316F8">
        <w:rPr>
          <w:rFonts w:ascii="Times" w:hAnsi="Times"/>
          <w:sz w:val="18"/>
          <w:szCs w:val="18"/>
        </w:rPr>
        <w:t xml:space="preserve">in </w:t>
      </w:r>
      <w:r w:rsidR="00E82130">
        <w:rPr>
          <w:rFonts w:ascii="Times" w:hAnsi="Times"/>
          <w:sz w:val="18"/>
          <w:szCs w:val="18"/>
        </w:rPr>
        <w:t>miglioramento</w:t>
      </w:r>
      <w:r w:rsidR="00A641BA">
        <w:rPr>
          <w:rFonts w:ascii="Times" w:hAnsi="Times"/>
          <w:sz w:val="18"/>
          <w:szCs w:val="18"/>
        </w:rPr>
        <w:t xml:space="preserve">; </w:t>
      </w:r>
      <w:r w:rsidR="00D16287">
        <w:rPr>
          <w:rFonts w:ascii="Times" w:hAnsi="Times"/>
          <w:sz w:val="18"/>
          <w:szCs w:val="18"/>
        </w:rPr>
        <w:t xml:space="preserve">risultano </w:t>
      </w:r>
      <w:r w:rsidR="00E82130">
        <w:rPr>
          <w:rFonts w:ascii="Times" w:hAnsi="Times"/>
          <w:sz w:val="18"/>
          <w:szCs w:val="18"/>
        </w:rPr>
        <w:t xml:space="preserve">anche </w:t>
      </w:r>
      <w:r w:rsidR="00D16287">
        <w:rPr>
          <w:rFonts w:ascii="Times" w:hAnsi="Times"/>
          <w:sz w:val="18"/>
          <w:szCs w:val="18"/>
        </w:rPr>
        <w:t xml:space="preserve">leggermente inferiori </w:t>
      </w:r>
      <w:r w:rsidR="00D16287" w:rsidRPr="006C010C">
        <w:rPr>
          <w:rFonts w:ascii="Times" w:hAnsi="Times"/>
          <w:sz w:val="18"/>
          <w:szCs w:val="18"/>
        </w:rPr>
        <w:t>alle medie geografica e nazionale</w:t>
      </w:r>
      <w:r w:rsidR="00D16287">
        <w:rPr>
          <w:rFonts w:ascii="Times" w:hAnsi="Times"/>
          <w:sz w:val="18"/>
          <w:szCs w:val="18"/>
        </w:rPr>
        <w:t>.</w:t>
      </w:r>
    </w:p>
    <w:p w14:paraId="766C84A3" w14:textId="77777777" w:rsidR="00D9049B" w:rsidRDefault="00D9049B" w:rsidP="00326DD8">
      <w:pPr>
        <w:jc w:val="both"/>
        <w:rPr>
          <w:color w:val="4472C4" w:themeColor="accent1"/>
        </w:rPr>
      </w:pPr>
    </w:p>
    <w:p w14:paraId="3C295009" w14:textId="77777777" w:rsidR="00D9049B" w:rsidRDefault="00D9049B" w:rsidP="00326DD8">
      <w:pPr>
        <w:jc w:val="both"/>
        <w:rPr>
          <w:color w:val="4472C4" w:themeColor="accent1"/>
        </w:rPr>
      </w:pPr>
    </w:p>
    <w:p w14:paraId="17F035A0" w14:textId="77777777" w:rsidR="00D9049B" w:rsidRDefault="00D9049B" w:rsidP="00326DD8">
      <w:pPr>
        <w:jc w:val="both"/>
        <w:rPr>
          <w:color w:val="4472C4" w:themeColor="accent1"/>
        </w:rPr>
      </w:pPr>
    </w:p>
    <w:p w14:paraId="7545F21F" w14:textId="77777777" w:rsidR="00010E61" w:rsidRDefault="00010E61" w:rsidP="005A41C8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  <w:highlight w:val="yellow"/>
        </w:rPr>
      </w:pPr>
    </w:p>
    <w:p w14:paraId="1766758B" w14:textId="77777777" w:rsidR="00010E61" w:rsidRDefault="00010E61" w:rsidP="005A41C8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  <w:highlight w:val="yellow"/>
        </w:rPr>
      </w:pPr>
    </w:p>
    <w:p w14:paraId="50B806B9" w14:textId="77777777" w:rsidR="00010E61" w:rsidRDefault="00010E61" w:rsidP="005A41C8">
      <w:pPr>
        <w:pStyle w:val="NormaleWeb"/>
        <w:shd w:val="clear" w:color="auto" w:fill="FFFFFF"/>
        <w:jc w:val="both"/>
        <w:rPr>
          <w:rFonts w:ascii="Times" w:hAnsi="Times"/>
          <w:sz w:val="18"/>
          <w:szCs w:val="18"/>
          <w:highlight w:val="yellow"/>
        </w:rPr>
      </w:pPr>
    </w:p>
    <w:p w14:paraId="5C1F4205" w14:textId="77777777" w:rsidR="00C35FF8" w:rsidRPr="00D9049B" w:rsidRDefault="00C35FF8" w:rsidP="00326DD8">
      <w:pPr>
        <w:jc w:val="both"/>
        <w:rPr>
          <w:color w:val="4472C4" w:themeColor="accent1"/>
        </w:rPr>
      </w:pPr>
    </w:p>
    <w:sectPr w:rsidR="00C35FF8" w:rsidRPr="00D9049B" w:rsidSect="001345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151"/>
    <w:multiLevelType w:val="hybridMultilevel"/>
    <w:tmpl w:val="9CC228BC"/>
    <w:lvl w:ilvl="0" w:tplc="4AD8B2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B0"/>
    <w:rsid w:val="00010E61"/>
    <w:rsid w:val="00011819"/>
    <w:rsid w:val="00027116"/>
    <w:rsid w:val="000316F8"/>
    <w:rsid w:val="00037819"/>
    <w:rsid w:val="00134512"/>
    <w:rsid w:val="00157ABC"/>
    <w:rsid w:val="00217B95"/>
    <w:rsid w:val="00235BFF"/>
    <w:rsid w:val="00260950"/>
    <w:rsid w:val="002662D4"/>
    <w:rsid w:val="002B0D2A"/>
    <w:rsid w:val="002E4BDD"/>
    <w:rsid w:val="003050F5"/>
    <w:rsid w:val="00326DD8"/>
    <w:rsid w:val="00386092"/>
    <w:rsid w:val="00390D7D"/>
    <w:rsid w:val="003A5E4C"/>
    <w:rsid w:val="0040120D"/>
    <w:rsid w:val="004373E2"/>
    <w:rsid w:val="004C36B7"/>
    <w:rsid w:val="005001F5"/>
    <w:rsid w:val="00521A6C"/>
    <w:rsid w:val="00525577"/>
    <w:rsid w:val="00527496"/>
    <w:rsid w:val="005608C9"/>
    <w:rsid w:val="00567CF8"/>
    <w:rsid w:val="00594FF8"/>
    <w:rsid w:val="005A41C8"/>
    <w:rsid w:val="00621917"/>
    <w:rsid w:val="00697585"/>
    <w:rsid w:val="006E3725"/>
    <w:rsid w:val="00732EB7"/>
    <w:rsid w:val="00750A23"/>
    <w:rsid w:val="00844D47"/>
    <w:rsid w:val="00966F77"/>
    <w:rsid w:val="00971999"/>
    <w:rsid w:val="00A35511"/>
    <w:rsid w:val="00A45AB0"/>
    <w:rsid w:val="00A641BA"/>
    <w:rsid w:val="00AA6E71"/>
    <w:rsid w:val="00AD1C63"/>
    <w:rsid w:val="00AF07B2"/>
    <w:rsid w:val="00B35B01"/>
    <w:rsid w:val="00B36B03"/>
    <w:rsid w:val="00B60C38"/>
    <w:rsid w:val="00B615D8"/>
    <w:rsid w:val="00B869D3"/>
    <w:rsid w:val="00BA319F"/>
    <w:rsid w:val="00BA512C"/>
    <w:rsid w:val="00BA5DA2"/>
    <w:rsid w:val="00C35FF8"/>
    <w:rsid w:val="00C57077"/>
    <w:rsid w:val="00C60DB3"/>
    <w:rsid w:val="00C73B4C"/>
    <w:rsid w:val="00C8055C"/>
    <w:rsid w:val="00CA1FDC"/>
    <w:rsid w:val="00D16287"/>
    <w:rsid w:val="00D53966"/>
    <w:rsid w:val="00D627BF"/>
    <w:rsid w:val="00D62CF2"/>
    <w:rsid w:val="00D7244F"/>
    <w:rsid w:val="00D9049B"/>
    <w:rsid w:val="00DD5572"/>
    <w:rsid w:val="00E0522E"/>
    <w:rsid w:val="00E1312C"/>
    <w:rsid w:val="00E27863"/>
    <w:rsid w:val="00E30EB4"/>
    <w:rsid w:val="00E82130"/>
    <w:rsid w:val="00EF4B97"/>
    <w:rsid w:val="00F449DF"/>
    <w:rsid w:val="00F50EAF"/>
    <w:rsid w:val="00F634AF"/>
    <w:rsid w:val="00FB780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ED77"/>
  <w15:docId w15:val="{9BBA8C26-24B7-468E-BC86-7F05BD6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904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1A6C"/>
    <w:pPr>
      <w:ind w:left="720"/>
      <w:contextualSpacing/>
    </w:pPr>
  </w:style>
  <w:style w:type="paragraph" w:styleId="Revisione">
    <w:name w:val="Revision"/>
    <w:hidden/>
    <w:uiPriority w:val="99"/>
    <w:semiHidden/>
    <w:rsid w:val="0003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8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6C12-E51A-473F-9AB7-F17686D9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Rossano</dc:creator>
  <cp:lastModifiedBy>Marcella Cives</cp:lastModifiedBy>
  <cp:revision>16</cp:revision>
  <cp:lastPrinted>2018-11-29T09:54:00Z</cp:lastPrinted>
  <dcterms:created xsi:type="dcterms:W3CDTF">2021-11-23T08:19:00Z</dcterms:created>
  <dcterms:modified xsi:type="dcterms:W3CDTF">2021-11-24T14:08:00Z</dcterms:modified>
</cp:coreProperties>
</file>