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F2A7" w14:textId="7D64E077" w:rsidR="006A5A9C" w:rsidRPr="00A36E66" w:rsidRDefault="00DC64F3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0"/>
          <w:szCs w:val="20"/>
        </w:rPr>
      </w:pPr>
      <w:r>
        <w:rPr>
          <w:rStyle w:val="normaltextrun"/>
          <w:b/>
          <w:sz w:val="20"/>
          <w:szCs w:val="20"/>
        </w:rPr>
        <w:t xml:space="preserve">Commento SMA </w:t>
      </w:r>
      <w:proofErr w:type="spellStart"/>
      <w:r w:rsidR="006A5A9C" w:rsidRPr="00A36E66">
        <w:rPr>
          <w:rStyle w:val="normaltextrun"/>
          <w:b/>
          <w:sz w:val="20"/>
          <w:szCs w:val="20"/>
        </w:rPr>
        <w:t>CdS</w:t>
      </w:r>
      <w:proofErr w:type="spellEnd"/>
      <w:r w:rsidR="006A5A9C" w:rsidRPr="00A36E66">
        <w:rPr>
          <w:rStyle w:val="normaltextrun"/>
          <w:b/>
          <w:sz w:val="20"/>
          <w:szCs w:val="20"/>
        </w:rPr>
        <w:t xml:space="preserve"> </w:t>
      </w:r>
      <w:r w:rsidR="00FD7685">
        <w:rPr>
          <w:rStyle w:val="normaltextrun"/>
          <w:b/>
          <w:sz w:val="20"/>
          <w:szCs w:val="20"/>
        </w:rPr>
        <w:t xml:space="preserve">Magistrale </w:t>
      </w:r>
      <w:r w:rsidR="006A5A9C" w:rsidRPr="00A36E66">
        <w:rPr>
          <w:rStyle w:val="normaltextrun"/>
          <w:b/>
          <w:sz w:val="20"/>
          <w:szCs w:val="20"/>
        </w:rPr>
        <w:t>Data Science</w:t>
      </w:r>
    </w:p>
    <w:p w14:paraId="3AD75BEA" w14:textId="77777777" w:rsidR="006A5A9C" w:rsidRPr="00A36E66" w:rsidRDefault="006A5A9C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21B3F127" w14:textId="6200A15E" w:rsidR="00D94CAE" w:rsidRPr="00A36E66" w:rsidRDefault="005B7FFE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A36E66">
        <w:rPr>
          <w:rStyle w:val="normaltextrun"/>
          <w:sz w:val="20"/>
          <w:szCs w:val="20"/>
        </w:rPr>
        <w:t xml:space="preserve">Per quanto concerne il numero di iscritti al primo anno </w:t>
      </w:r>
      <w:r w:rsidR="00D94CAE" w:rsidRPr="00A36E66">
        <w:rPr>
          <w:rStyle w:val="normaltextrun"/>
          <w:sz w:val="20"/>
          <w:szCs w:val="20"/>
        </w:rPr>
        <w:t xml:space="preserve">per </w:t>
      </w:r>
      <w:r w:rsidRPr="00A36E66">
        <w:rPr>
          <w:rStyle w:val="normaltextrun"/>
          <w:sz w:val="20"/>
          <w:szCs w:val="20"/>
        </w:rPr>
        <w:t xml:space="preserve">l’indicatore </w:t>
      </w:r>
      <w:r w:rsidRPr="00A36E66">
        <w:rPr>
          <w:rStyle w:val="normaltextrun"/>
          <w:b/>
          <w:bCs/>
          <w:sz w:val="20"/>
          <w:szCs w:val="20"/>
        </w:rPr>
        <w:t>iC00a </w:t>
      </w:r>
      <w:r w:rsidRPr="00A36E66">
        <w:rPr>
          <w:rStyle w:val="normaltextrun"/>
          <w:sz w:val="20"/>
          <w:szCs w:val="20"/>
        </w:rPr>
        <w:t>(Avvii di carriera al primo anno) si osserva una diminuzione (-20) con un dato al di sotto della media degli altri atenei in Italia ma al di sopra di quella degli atenei della stessa area geografica. </w:t>
      </w:r>
      <w:r w:rsidR="00D94CAE" w:rsidRPr="00A36E66">
        <w:rPr>
          <w:rStyle w:val="normaltextrun"/>
          <w:sz w:val="20"/>
          <w:szCs w:val="20"/>
        </w:rPr>
        <w:t xml:space="preserve">Il calo degli avvii </w:t>
      </w:r>
      <w:r w:rsidR="00B74853" w:rsidRPr="00A36E66">
        <w:rPr>
          <w:rStyle w:val="normaltextrun"/>
          <w:sz w:val="20"/>
          <w:szCs w:val="20"/>
        </w:rPr>
        <w:t xml:space="preserve">di carriera </w:t>
      </w:r>
      <w:r w:rsidR="00D94CAE" w:rsidRPr="00A36E66">
        <w:rPr>
          <w:rStyle w:val="normaltextrun"/>
          <w:sz w:val="20"/>
          <w:szCs w:val="20"/>
        </w:rPr>
        <w:t xml:space="preserve">rispetto al primo anno del ciclo può essere dovuto all’ampliamento/ristrutturazione, nell’ambito del nostro Dipartimento, dell’offerta di </w:t>
      </w:r>
      <w:proofErr w:type="spellStart"/>
      <w:r w:rsidR="00D94CAE" w:rsidRPr="00A36E66">
        <w:rPr>
          <w:rStyle w:val="normaltextrun"/>
          <w:sz w:val="20"/>
          <w:szCs w:val="20"/>
        </w:rPr>
        <w:t>CdS</w:t>
      </w:r>
      <w:proofErr w:type="spellEnd"/>
      <w:r w:rsidR="00D94CAE" w:rsidRPr="00A36E66">
        <w:rPr>
          <w:rStyle w:val="normaltextrun"/>
          <w:sz w:val="20"/>
          <w:szCs w:val="20"/>
        </w:rPr>
        <w:t xml:space="preserve"> magistrali verso i laureati in triennali in discipline informatiche. </w:t>
      </w:r>
    </w:p>
    <w:p w14:paraId="447F19DD" w14:textId="610A4F5E" w:rsidR="005B7FFE" w:rsidRPr="00A36E66" w:rsidRDefault="005B7FFE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36E66">
        <w:rPr>
          <w:rStyle w:val="normaltextrun"/>
          <w:sz w:val="20"/>
          <w:szCs w:val="20"/>
        </w:rPr>
        <w:t xml:space="preserve">Il numero di iscritti complessivo </w:t>
      </w:r>
      <w:r w:rsidRPr="00A36E66">
        <w:rPr>
          <w:rStyle w:val="normaltextrun"/>
          <w:b/>
          <w:bCs/>
          <w:sz w:val="20"/>
          <w:szCs w:val="20"/>
        </w:rPr>
        <w:t>iC00d </w:t>
      </w:r>
      <w:r w:rsidRPr="00A36E66">
        <w:rPr>
          <w:rStyle w:val="normaltextrun"/>
          <w:sz w:val="20"/>
          <w:szCs w:val="20"/>
        </w:rPr>
        <w:t>(Iscritti) registra un aumento (</w:t>
      </w:r>
      <w:r w:rsidR="006F3CBB" w:rsidRPr="00A36E66">
        <w:rPr>
          <w:rStyle w:val="normaltextrun"/>
          <w:sz w:val="20"/>
          <w:szCs w:val="20"/>
        </w:rPr>
        <w:t xml:space="preserve">passando da 53 del 2019 a </w:t>
      </w:r>
      <w:r w:rsidRPr="00A36E66">
        <w:rPr>
          <w:rStyle w:val="normaltextrun"/>
          <w:sz w:val="20"/>
          <w:szCs w:val="20"/>
        </w:rPr>
        <w:t>82</w:t>
      </w:r>
      <w:r w:rsidR="006F3CBB" w:rsidRPr="00A36E66">
        <w:rPr>
          <w:rStyle w:val="normaltextrun"/>
          <w:sz w:val="20"/>
          <w:szCs w:val="20"/>
        </w:rPr>
        <w:t xml:space="preserve"> del 2020</w:t>
      </w:r>
      <w:r w:rsidRPr="00A36E66">
        <w:rPr>
          <w:rStyle w:val="normaltextrun"/>
          <w:sz w:val="20"/>
          <w:szCs w:val="20"/>
        </w:rPr>
        <w:t>) numero superiore alla media dell</w:t>
      </w:r>
      <w:r w:rsidR="00D94CAE" w:rsidRPr="00A36E66">
        <w:rPr>
          <w:rStyle w:val="normaltextrun"/>
          <w:sz w:val="20"/>
          <w:szCs w:val="20"/>
        </w:rPr>
        <w:t>’</w:t>
      </w:r>
      <w:r w:rsidRPr="00A36E66">
        <w:rPr>
          <w:rStyle w:val="normaltextrun"/>
          <w:sz w:val="20"/>
          <w:szCs w:val="20"/>
        </w:rPr>
        <w:t>area geografica (49,5) e leggermente inferiore</w:t>
      </w:r>
      <w:r w:rsidR="005B0B47">
        <w:rPr>
          <w:rStyle w:val="normaltextrun"/>
          <w:sz w:val="20"/>
          <w:szCs w:val="20"/>
        </w:rPr>
        <w:t>,</w:t>
      </w:r>
      <w:r w:rsidRPr="00A36E66">
        <w:rPr>
          <w:rStyle w:val="normaltextrun"/>
          <w:sz w:val="20"/>
          <w:szCs w:val="20"/>
        </w:rPr>
        <w:t> ma sostanzialmente in linea</w:t>
      </w:r>
      <w:r w:rsidR="005B0B47">
        <w:rPr>
          <w:rStyle w:val="normaltextrun"/>
          <w:sz w:val="20"/>
          <w:szCs w:val="20"/>
        </w:rPr>
        <w:t>,</w:t>
      </w:r>
      <w:r w:rsidRPr="00A36E66">
        <w:rPr>
          <w:rStyle w:val="normaltextrun"/>
          <w:sz w:val="20"/>
          <w:szCs w:val="20"/>
        </w:rPr>
        <w:t xml:space="preserve"> con quello degli atenei italiani (86)</w:t>
      </w:r>
      <w:r w:rsidR="00D94CAE" w:rsidRPr="00A36E66">
        <w:rPr>
          <w:rStyle w:val="normaltextrun"/>
          <w:sz w:val="20"/>
          <w:szCs w:val="20"/>
        </w:rPr>
        <w:t>.</w:t>
      </w:r>
      <w:r w:rsidRPr="00A36E66">
        <w:rPr>
          <w:rStyle w:val="eop"/>
          <w:sz w:val="20"/>
          <w:szCs w:val="20"/>
        </w:rPr>
        <w:t> </w:t>
      </w:r>
    </w:p>
    <w:p w14:paraId="71FBE731" w14:textId="059EA4EA" w:rsidR="005B7FFE" w:rsidRPr="00A36E66" w:rsidRDefault="005B7FFE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36E66">
        <w:rPr>
          <w:rStyle w:val="normaltextrun"/>
          <w:sz w:val="20"/>
          <w:szCs w:val="20"/>
        </w:rPr>
        <w:t>Al contempo</w:t>
      </w:r>
      <w:r w:rsidR="006F3CBB" w:rsidRPr="00A36E66">
        <w:rPr>
          <w:rStyle w:val="normaltextrun"/>
          <w:sz w:val="20"/>
          <w:szCs w:val="20"/>
        </w:rPr>
        <w:t>, da un monitoraggio interno,</w:t>
      </w:r>
      <w:r w:rsidRPr="00A36E66">
        <w:rPr>
          <w:rStyle w:val="normaltextrun"/>
          <w:sz w:val="20"/>
          <w:szCs w:val="20"/>
        </w:rPr>
        <w:t xml:space="preserve"> </w:t>
      </w:r>
      <w:proofErr w:type="gramStart"/>
      <w:r w:rsidRPr="00A36E66">
        <w:rPr>
          <w:rStyle w:val="normaltextrun"/>
          <w:sz w:val="20"/>
          <w:szCs w:val="20"/>
        </w:rPr>
        <w:t>si </w:t>
      </w:r>
      <w:r w:rsidR="006F3CBB" w:rsidRPr="00A36E66" w:rsidDel="006F3CBB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>registra</w:t>
      </w:r>
      <w:proofErr w:type="gramEnd"/>
      <w:r w:rsidRPr="00A36E66">
        <w:rPr>
          <w:rStyle w:val="normaltextrun"/>
          <w:sz w:val="20"/>
          <w:szCs w:val="20"/>
        </w:rPr>
        <w:t xml:space="preserve"> una certa attrattività del </w:t>
      </w:r>
      <w:proofErr w:type="spellStart"/>
      <w:r w:rsidRPr="00A36E66">
        <w:rPr>
          <w:rStyle w:val="normaltextrun"/>
          <w:sz w:val="20"/>
          <w:szCs w:val="20"/>
        </w:rPr>
        <w:t>CdS</w:t>
      </w:r>
      <w:proofErr w:type="spellEnd"/>
      <w:r w:rsidRPr="00A36E66">
        <w:rPr>
          <w:rStyle w:val="normaltextrun"/>
          <w:sz w:val="20"/>
          <w:szCs w:val="20"/>
        </w:rPr>
        <w:t> </w:t>
      </w:r>
      <w:r w:rsidR="006F3CBB" w:rsidRPr="00A36E66" w:rsidDel="006F3CBB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>verso studenti che hanno conseguito lauree triennali in classi appartenenti a settori/aree diversi (Economia, Statistica, Matematica, Fisica) confermandone la natura trasversale.</w:t>
      </w:r>
      <w:r w:rsidRPr="00A36E66">
        <w:rPr>
          <w:rStyle w:val="eop"/>
          <w:sz w:val="20"/>
          <w:szCs w:val="20"/>
        </w:rPr>
        <w:t> </w:t>
      </w:r>
    </w:p>
    <w:p w14:paraId="7D308F8E" w14:textId="77777777" w:rsidR="000D358A" w:rsidRPr="00A36E66" w:rsidRDefault="000D358A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91EA02" w14:textId="0426F012" w:rsidR="00E1468E" w:rsidRPr="00A36E66" w:rsidRDefault="00E1468E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36E66">
        <w:rPr>
          <w:rStyle w:val="normaltextrun"/>
          <w:sz w:val="20"/>
          <w:szCs w:val="20"/>
        </w:rPr>
        <w:t xml:space="preserve">Per quanto concerne gli indicatori del </w:t>
      </w:r>
      <w:r w:rsidR="00EC6384" w:rsidRPr="00A36E66">
        <w:rPr>
          <w:rStyle w:val="normaltextrun"/>
          <w:sz w:val="20"/>
          <w:szCs w:val="20"/>
        </w:rPr>
        <w:t xml:space="preserve">Gruppo A - Indicatori Didattica </w:t>
      </w:r>
      <w:r w:rsidRPr="00A36E66">
        <w:rPr>
          <w:rStyle w:val="normaltextrun"/>
          <w:sz w:val="20"/>
          <w:szCs w:val="20"/>
        </w:rPr>
        <w:t xml:space="preserve">si fa presente che i dati si riferiscono al </w:t>
      </w:r>
      <w:r w:rsidR="006A5A9C" w:rsidRPr="00A36E66">
        <w:rPr>
          <w:rStyle w:val="normaltextrun"/>
          <w:sz w:val="20"/>
          <w:szCs w:val="20"/>
        </w:rPr>
        <w:t xml:space="preserve">primo </w:t>
      </w:r>
      <w:r w:rsidRPr="00A36E66">
        <w:rPr>
          <w:rStyle w:val="normaltextrun"/>
          <w:sz w:val="20"/>
          <w:szCs w:val="20"/>
        </w:rPr>
        <w:t xml:space="preserve">ciclo del </w:t>
      </w:r>
      <w:proofErr w:type="spellStart"/>
      <w:r w:rsidRPr="00A36E66">
        <w:rPr>
          <w:rStyle w:val="normaltextrun"/>
          <w:sz w:val="20"/>
          <w:szCs w:val="20"/>
        </w:rPr>
        <w:t>CdS</w:t>
      </w:r>
      <w:proofErr w:type="spellEnd"/>
      <w:r w:rsidRPr="00A36E66">
        <w:rPr>
          <w:rStyle w:val="normaltextrun"/>
          <w:sz w:val="20"/>
          <w:szCs w:val="20"/>
        </w:rPr>
        <w:t xml:space="preserve"> e quindi risultano ancora molto preliminari. Per l'indicatore iC01 (Percentuale di studenti iscritti entro la durata normale del </w:t>
      </w:r>
      <w:proofErr w:type="spellStart"/>
      <w:r w:rsidRPr="00A36E66">
        <w:rPr>
          <w:rStyle w:val="normaltextrun"/>
          <w:sz w:val="20"/>
          <w:szCs w:val="20"/>
        </w:rPr>
        <w:t>CdS</w:t>
      </w:r>
      <w:proofErr w:type="spellEnd"/>
      <w:r w:rsidRPr="00A36E66">
        <w:rPr>
          <w:rStyle w:val="normaltextrun"/>
          <w:sz w:val="20"/>
          <w:szCs w:val="20"/>
        </w:rPr>
        <w:t> che abbiano acquisito almeno 40 CFU </w:t>
      </w:r>
      <w:proofErr w:type="gramStart"/>
      <w:r w:rsidRPr="00A36E66">
        <w:rPr>
          <w:rStyle w:val="normaltextrun"/>
          <w:sz w:val="20"/>
          <w:szCs w:val="20"/>
        </w:rPr>
        <w:t>nell</w:t>
      </w:r>
      <w:r w:rsidR="006A5A9C" w:rsidRPr="00A36E66">
        <w:rPr>
          <w:rStyle w:val="normaltextrun"/>
          <w:sz w:val="20"/>
          <w:szCs w:val="20"/>
        </w:rPr>
        <w:t>’</w:t>
      </w:r>
      <w:proofErr w:type="spellStart"/>
      <w:r w:rsidRPr="00A36E66">
        <w:rPr>
          <w:rStyle w:val="normaltextrun"/>
          <w:sz w:val="20"/>
          <w:szCs w:val="20"/>
        </w:rPr>
        <w:t>a.s</w:t>
      </w:r>
      <w:proofErr w:type="spellEnd"/>
      <w:proofErr w:type="gramEnd"/>
      <w:r w:rsidRPr="00A36E66">
        <w:rPr>
          <w:rStyle w:val="normaltextrun"/>
          <w:sz w:val="20"/>
          <w:szCs w:val="20"/>
        </w:rPr>
        <w:t>)</w:t>
      </w:r>
      <w:r w:rsidR="000D358A" w:rsidRPr="00A36E66">
        <w:rPr>
          <w:rStyle w:val="normaltextrun"/>
          <w:sz w:val="20"/>
          <w:szCs w:val="20"/>
        </w:rPr>
        <w:t xml:space="preserve"> il </w:t>
      </w:r>
      <w:r w:rsidRPr="00A36E66">
        <w:rPr>
          <w:rStyle w:val="normaltextrun"/>
          <w:sz w:val="20"/>
          <w:szCs w:val="20"/>
        </w:rPr>
        <w:t xml:space="preserve">dato disponibile per il 2019 (20,8%) </w:t>
      </w:r>
      <w:r w:rsidR="000D358A" w:rsidRPr="00A36E66">
        <w:rPr>
          <w:rStyle w:val="normaltextrun"/>
          <w:sz w:val="20"/>
          <w:szCs w:val="20"/>
        </w:rPr>
        <w:t xml:space="preserve">risulta </w:t>
      </w:r>
      <w:r w:rsidRPr="00A36E66">
        <w:rPr>
          <w:rStyle w:val="normaltextrun"/>
          <w:sz w:val="20"/>
          <w:szCs w:val="20"/>
        </w:rPr>
        <w:t>più basso sia rispetto agli altri atenei dell</w:t>
      </w:r>
      <w:r w:rsidR="000D358A" w:rsidRPr="00A36E66">
        <w:rPr>
          <w:rStyle w:val="normaltextrun"/>
          <w:sz w:val="20"/>
          <w:szCs w:val="20"/>
        </w:rPr>
        <w:t>’</w:t>
      </w:r>
      <w:r w:rsidRPr="00A36E66">
        <w:rPr>
          <w:rStyle w:val="normaltextrun"/>
          <w:sz w:val="20"/>
          <w:szCs w:val="20"/>
        </w:rPr>
        <w:t>area geografica (36,4%) sia rispetto a quello nazionale (56,5%)</w:t>
      </w:r>
      <w:r w:rsidR="000D358A" w:rsidRPr="00A36E66">
        <w:rPr>
          <w:rStyle w:val="normaltextrun"/>
          <w:sz w:val="20"/>
          <w:szCs w:val="20"/>
        </w:rPr>
        <w:t>.</w:t>
      </w:r>
      <w:r w:rsidRPr="00A36E66">
        <w:rPr>
          <w:rStyle w:val="eop"/>
          <w:sz w:val="20"/>
          <w:szCs w:val="20"/>
        </w:rPr>
        <w:t> </w:t>
      </w:r>
    </w:p>
    <w:p w14:paraId="7E4495F9" w14:textId="4311B180" w:rsidR="008C17F1" w:rsidRDefault="008C17F1" w:rsidP="008C17F1">
      <w:pPr>
        <w:pStyle w:val="NormaleWeb"/>
        <w:spacing w:after="0"/>
        <w:jc w:val="both"/>
      </w:pPr>
      <w:r>
        <w:rPr>
          <w:sz w:val="20"/>
          <w:szCs w:val="20"/>
        </w:rPr>
        <w:t>L’indicatore iC05 – rapporto studenti regolari/docenti – mostra un aumento che porta il valore ben oltre la media dell’area regionale e nazionale.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L’indicatore della qualità della ricerca (iC09) registra un aumento che porta il suo valore a superare la soglia di riferimento.</w:t>
      </w:r>
    </w:p>
    <w:p w14:paraId="1A293A63" w14:textId="35ECDB8F" w:rsidR="00EC6384" w:rsidRPr="009F3AD2" w:rsidRDefault="00E806D2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B3959">
        <w:rPr>
          <w:rStyle w:val="normaltextrun"/>
          <w:sz w:val="20"/>
          <w:szCs w:val="20"/>
        </w:rPr>
        <w:t xml:space="preserve">Gli indicatori del </w:t>
      </w:r>
      <w:r w:rsidR="00EC6384" w:rsidRPr="008B3959">
        <w:rPr>
          <w:rStyle w:val="normaltextrun"/>
          <w:sz w:val="20"/>
          <w:szCs w:val="20"/>
        </w:rPr>
        <w:t xml:space="preserve">Gruppo B - Indicatori Internazionalizzazione </w:t>
      </w:r>
      <w:r w:rsidR="008B3959">
        <w:rPr>
          <w:rStyle w:val="normaltextrun"/>
          <w:sz w:val="20"/>
          <w:szCs w:val="20"/>
        </w:rPr>
        <w:t xml:space="preserve">(iC10, iC12) </w:t>
      </w:r>
      <w:r w:rsidRPr="008B3959">
        <w:rPr>
          <w:rStyle w:val="normaltextrun"/>
          <w:sz w:val="20"/>
          <w:szCs w:val="20"/>
        </w:rPr>
        <w:t>sono</w:t>
      </w:r>
      <w:r w:rsidR="008B3959">
        <w:rPr>
          <w:rStyle w:val="normaltextrun"/>
          <w:sz w:val="20"/>
          <w:szCs w:val="20"/>
        </w:rPr>
        <w:t xml:space="preserve"> pari a zero</w:t>
      </w:r>
      <w:r w:rsidR="009F3AD2">
        <w:rPr>
          <w:rStyle w:val="normaltextrun"/>
          <w:sz w:val="20"/>
          <w:szCs w:val="20"/>
        </w:rPr>
        <w:t xml:space="preserve">. Tuttavia occorre rilevare che l’indicatore </w:t>
      </w:r>
      <w:r w:rsidR="009F3AD2" w:rsidRPr="009F3AD2">
        <w:rPr>
          <w:rStyle w:val="normaltextrun"/>
          <w:sz w:val="20"/>
          <w:szCs w:val="20"/>
        </w:rPr>
        <w:t xml:space="preserve">iC10 (Percentuale di CFU conseguiti all'estero dagli studenti regolari sul totale dei CFU conseguiti dagli studenti entro la durata normale del corso) registra un dato riferito al 2019, </w:t>
      </w:r>
      <w:proofErr w:type="gramStart"/>
      <w:r w:rsidR="009F3AD2" w:rsidRPr="009F3AD2">
        <w:rPr>
          <w:rStyle w:val="normaltextrun"/>
          <w:sz w:val="20"/>
          <w:szCs w:val="20"/>
        </w:rPr>
        <w:t>anno  in</w:t>
      </w:r>
      <w:proofErr w:type="gramEnd"/>
      <w:r w:rsidR="009F3AD2" w:rsidRPr="009F3AD2">
        <w:rPr>
          <w:rStyle w:val="normaltextrun"/>
          <w:sz w:val="20"/>
          <w:szCs w:val="20"/>
        </w:rPr>
        <w:t xml:space="preserve"> cui </w:t>
      </w:r>
      <w:r w:rsidR="009F3AD2">
        <w:rPr>
          <w:rStyle w:val="normaltextrun"/>
          <w:sz w:val="20"/>
          <w:szCs w:val="20"/>
        </w:rPr>
        <w:t>si sono avute</w:t>
      </w:r>
      <w:r w:rsidR="009F3AD2" w:rsidRPr="009F3AD2">
        <w:rPr>
          <w:rStyle w:val="normaltextrun"/>
          <w:sz w:val="20"/>
          <w:szCs w:val="20"/>
        </w:rPr>
        <w:t xml:space="preserve"> solo matricole per </w:t>
      </w:r>
      <w:r w:rsidR="009F3AD2">
        <w:rPr>
          <w:rStyle w:val="normaltextrun"/>
          <w:sz w:val="20"/>
          <w:szCs w:val="20"/>
        </w:rPr>
        <w:t>le quali</w:t>
      </w:r>
      <w:r w:rsidR="009F3AD2" w:rsidRPr="009F3AD2">
        <w:rPr>
          <w:rStyle w:val="normaltextrun"/>
          <w:sz w:val="20"/>
          <w:szCs w:val="20"/>
        </w:rPr>
        <w:t xml:space="preserve"> non è prevista la partecipazione a programmi internazionali  </w:t>
      </w:r>
      <w:r w:rsidR="005B0B47" w:rsidRPr="009F3AD2">
        <w:rPr>
          <w:rStyle w:val="normaltextrun"/>
          <w:sz w:val="20"/>
          <w:szCs w:val="20"/>
        </w:rPr>
        <w:t xml:space="preserve"> </w:t>
      </w:r>
    </w:p>
    <w:p w14:paraId="3AB1BA63" w14:textId="77777777" w:rsidR="00EC6384" w:rsidRPr="00A36E66" w:rsidRDefault="00EC6384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36E66">
        <w:rPr>
          <w:rStyle w:val="eop"/>
          <w:sz w:val="20"/>
          <w:szCs w:val="20"/>
        </w:rPr>
        <w:t> </w:t>
      </w:r>
    </w:p>
    <w:p w14:paraId="74903002" w14:textId="26BE95D5" w:rsidR="004A1D8C" w:rsidRPr="00A36E66" w:rsidRDefault="004A1D8C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DC64F3">
        <w:rPr>
          <w:rStyle w:val="normaltextrun"/>
          <w:sz w:val="20"/>
          <w:szCs w:val="20"/>
        </w:rPr>
        <w:t xml:space="preserve">Gli </w:t>
      </w:r>
      <w:r w:rsidR="001B0C71" w:rsidRPr="00DC64F3">
        <w:rPr>
          <w:rStyle w:val="normaltextrun"/>
          <w:sz w:val="20"/>
          <w:szCs w:val="20"/>
        </w:rPr>
        <w:t xml:space="preserve">indicatori del </w:t>
      </w:r>
      <w:r w:rsidR="00EC6384" w:rsidRPr="00DC64F3">
        <w:rPr>
          <w:rStyle w:val="normaltextrun"/>
          <w:sz w:val="20"/>
          <w:szCs w:val="20"/>
        </w:rPr>
        <w:t xml:space="preserve">Gruppo E </w:t>
      </w:r>
      <w:r w:rsidR="008B3959">
        <w:rPr>
          <w:rStyle w:val="normaltextrun"/>
          <w:sz w:val="20"/>
          <w:szCs w:val="20"/>
        </w:rPr>
        <w:t xml:space="preserve">– </w:t>
      </w:r>
      <w:r w:rsidR="004D6A4A">
        <w:rPr>
          <w:rStyle w:val="normaltextrun"/>
          <w:sz w:val="20"/>
          <w:szCs w:val="20"/>
        </w:rPr>
        <w:t>ulteriori</w:t>
      </w:r>
      <w:r w:rsidR="008B3959">
        <w:rPr>
          <w:rStyle w:val="normaltextrun"/>
          <w:sz w:val="20"/>
          <w:szCs w:val="20"/>
        </w:rPr>
        <w:t xml:space="preserve"> indicatori per la valutazione della didattica</w:t>
      </w:r>
      <w:r w:rsidR="009F3AD2">
        <w:rPr>
          <w:rStyle w:val="normaltextrun"/>
          <w:sz w:val="20"/>
          <w:szCs w:val="20"/>
        </w:rPr>
        <w:t xml:space="preserve"> -</w:t>
      </w:r>
      <w:r w:rsidR="008B3959">
        <w:rPr>
          <w:rStyle w:val="normaltextrun"/>
          <w:sz w:val="20"/>
          <w:szCs w:val="20"/>
        </w:rPr>
        <w:t xml:space="preserve"> </w:t>
      </w:r>
      <w:r w:rsidR="004D6A4A">
        <w:rPr>
          <w:rStyle w:val="normaltextrun"/>
          <w:sz w:val="20"/>
          <w:szCs w:val="20"/>
        </w:rPr>
        <w:t xml:space="preserve">sebbene siano </w:t>
      </w:r>
      <w:r w:rsidRPr="00A36E66">
        <w:rPr>
          <w:rStyle w:val="normaltextrun"/>
          <w:sz w:val="20"/>
          <w:szCs w:val="20"/>
        </w:rPr>
        <w:t xml:space="preserve">poco significativi trattandosi di dati riferiti al primo anno del primo ciclo, </w:t>
      </w:r>
      <w:r w:rsidR="004D6A4A">
        <w:rPr>
          <w:rStyle w:val="normaltextrun"/>
          <w:sz w:val="20"/>
          <w:szCs w:val="20"/>
        </w:rPr>
        <w:t>si osserva come</w:t>
      </w:r>
      <w:r w:rsidR="004D6A4A" w:rsidRPr="00A36E66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 xml:space="preserve">siano tutti inferiori alla media dell’area </w:t>
      </w:r>
      <w:r w:rsidR="009228B5">
        <w:rPr>
          <w:rStyle w:val="normaltextrun"/>
          <w:sz w:val="20"/>
          <w:szCs w:val="20"/>
        </w:rPr>
        <w:t xml:space="preserve">geografica </w:t>
      </w:r>
      <w:r w:rsidRPr="00A36E66">
        <w:rPr>
          <w:rStyle w:val="normaltextrun"/>
          <w:sz w:val="20"/>
          <w:szCs w:val="20"/>
        </w:rPr>
        <w:t xml:space="preserve">e a quella nazionale. </w:t>
      </w:r>
      <w:r w:rsidR="009228B5">
        <w:rPr>
          <w:rStyle w:val="normaltextrun"/>
          <w:sz w:val="20"/>
          <w:szCs w:val="20"/>
        </w:rPr>
        <w:t>L</w:t>
      </w:r>
      <w:r w:rsidR="008B3959">
        <w:rPr>
          <w:rStyle w:val="normaltextrun"/>
          <w:sz w:val="20"/>
          <w:szCs w:val="20"/>
        </w:rPr>
        <w:t>a percentuale di CFU conseguiti al I anno su CFU da conseguire</w:t>
      </w:r>
      <w:r w:rsidR="004D6A4A">
        <w:rPr>
          <w:rStyle w:val="normaltextrun"/>
          <w:sz w:val="20"/>
          <w:szCs w:val="20"/>
        </w:rPr>
        <w:t xml:space="preserve"> (iC13)</w:t>
      </w:r>
      <w:r w:rsidR="008B3959">
        <w:rPr>
          <w:rStyle w:val="normaltextrun"/>
          <w:sz w:val="20"/>
          <w:szCs w:val="20"/>
        </w:rPr>
        <w:t xml:space="preserve"> è </w:t>
      </w:r>
      <w:r w:rsidR="009228B5">
        <w:rPr>
          <w:rStyle w:val="normaltextrun"/>
          <w:sz w:val="20"/>
          <w:szCs w:val="20"/>
        </w:rPr>
        <w:t xml:space="preserve">50,3% </w:t>
      </w:r>
      <w:r w:rsidR="008B3959">
        <w:rPr>
          <w:rStyle w:val="normaltextrun"/>
          <w:sz w:val="20"/>
          <w:szCs w:val="20"/>
        </w:rPr>
        <w:t>al di sotto della media dell’area geografica (58,8%) e molto al di sotto della media nazionale (72,5%)</w:t>
      </w:r>
      <w:r w:rsidR="004D6A4A">
        <w:rPr>
          <w:rStyle w:val="normaltextrun"/>
          <w:sz w:val="20"/>
          <w:szCs w:val="20"/>
        </w:rPr>
        <w:t>;</w:t>
      </w:r>
      <w:r w:rsidR="008B3959">
        <w:rPr>
          <w:rStyle w:val="normaltextrun"/>
          <w:sz w:val="20"/>
          <w:szCs w:val="20"/>
        </w:rPr>
        <w:t xml:space="preserve"> </w:t>
      </w:r>
      <w:r w:rsidR="004D6A4A">
        <w:rPr>
          <w:rStyle w:val="normaltextrun"/>
          <w:sz w:val="20"/>
          <w:szCs w:val="20"/>
        </w:rPr>
        <w:t xml:space="preserve">la percentuale di studenti che proseguono al II anno avendo acquisito almeno 20 CFU (iC15) </w:t>
      </w:r>
      <w:r w:rsidR="009228B5">
        <w:rPr>
          <w:rStyle w:val="normaltextrun"/>
          <w:sz w:val="20"/>
          <w:szCs w:val="20"/>
        </w:rPr>
        <w:t xml:space="preserve">è del </w:t>
      </w:r>
      <w:r w:rsidR="004D6A4A">
        <w:rPr>
          <w:rStyle w:val="normaltextrun"/>
          <w:sz w:val="20"/>
          <w:szCs w:val="20"/>
        </w:rPr>
        <w:t xml:space="preserve">77,8% inferiore sia alla media dell’area geografica (81%) </w:t>
      </w:r>
      <w:r w:rsidR="009228B5">
        <w:rPr>
          <w:rStyle w:val="normaltextrun"/>
          <w:sz w:val="20"/>
          <w:szCs w:val="20"/>
        </w:rPr>
        <w:t>sia a</w:t>
      </w:r>
      <w:r w:rsidR="004D6A4A">
        <w:rPr>
          <w:rStyle w:val="normaltextrun"/>
          <w:sz w:val="20"/>
          <w:szCs w:val="20"/>
        </w:rPr>
        <w:t xml:space="preserve"> quella nazionale (85,6%); la </w:t>
      </w:r>
      <w:r w:rsidR="009228B5">
        <w:rPr>
          <w:rStyle w:val="normaltextrun"/>
          <w:sz w:val="20"/>
          <w:szCs w:val="20"/>
        </w:rPr>
        <w:t>p</w:t>
      </w:r>
      <w:r w:rsidR="004D6A4A" w:rsidRPr="004D6A4A">
        <w:rPr>
          <w:rStyle w:val="normaltextrun"/>
          <w:sz w:val="20"/>
          <w:szCs w:val="20"/>
        </w:rPr>
        <w:t>ercentuale di studenti che proseguono al II anno avendo acquisito almeno 40 CFU al I anno</w:t>
      </w:r>
      <w:r w:rsidR="004D6A4A">
        <w:rPr>
          <w:rStyle w:val="normaltextrun"/>
          <w:sz w:val="20"/>
          <w:szCs w:val="20"/>
        </w:rPr>
        <w:t xml:space="preserve"> (iC16) è del </w:t>
      </w:r>
      <w:r w:rsidR="009228B5">
        <w:rPr>
          <w:rStyle w:val="normaltextrun"/>
          <w:sz w:val="20"/>
          <w:szCs w:val="20"/>
        </w:rPr>
        <w:t xml:space="preserve">19,4% a fronte del 39,3% dell’area geografica e del 63,5% degli altri atenei. </w:t>
      </w:r>
    </w:p>
    <w:p w14:paraId="51C5AF97" w14:textId="27EE108B" w:rsidR="009228B5" w:rsidRDefault="009228B5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72FD726B" w14:textId="5BB223ED" w:rsidR="009228B5" w:rsidRDefault="009228B5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La percentuale di studenti che prosegue nello stesso corso (iC14</w:t>
      </w:r>
      <w:proofErr w:type="gramStart"/>
      <w:r>
        <w:rPr>
          <w:rStyle w:val="normaltextrun"/>
          <w:sz w:val="20"/>
          <w:szCs w:val="20"/>
        </w:rPr>
        <w:t>)  è</w:t>
      </w:r>
      <w:proofErr w:type="gramEnd"/>
      <w:r>
        <w:rPr>
          <w:rStyle w:val="normaltextrun"/>
          <w:sz w:val="20"/>
          <w:szCs w:val="20"/>
        </w:rPr>
        <w:t xml:space="preserve"> del 97,2% e supera sia la media dell’area geografica (96,4%) che la media nazionale (94,7%).</w:t>
      </w:r>
    </w:p>
    <w:p w14:paraId="5C192E56" w14:textId="77777777" w:rsidR="009228B5" w:rsidRPr="00A36E66" w:rsidRDefault="009228B5" w:rsidP="00A36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35D06665" w14:textId="45619CAE" w:rsidR="004A1D8C" w:rsidRPr="009228B5" w:rsidRDefault="004A1D8C" w:rsidP="00DC64F3">
      <w:pPr>
        <w:pStyle w:val="NormaleWeb"/>
        <w:rPr>
          <w:rStyle w:val="normaltextrun"/>
          <w:sz w:val="20"/>
          <w:szCs w:val="20"/>
        </w:rPr>
      </w:pPr>
      <w:r w:rsidRPr="00A36E66">
        <w:rPr>
          <w:rStyle w:val="normaltextrun"/>
          <w:sz w:val="20"/>
          <w:szCs w:val="20"/>
        </w:rPr>
        <w:t>Gli indicatori iC19</w:t>
      </w:r>
      <w:r w:rsidR="009228B5">
        <w:rPr>
          <w:rStyle w:val="normaltextrun"/>
          <w:sz w:val="20"/>
          <w:szCs w:val="20"/>
        </w:rPr>
        <w:t xml:space="preserve"> - P</w:t>
      </w:r>
      <w:r w:rsidR="009228B5" w:rsidRPr="00DC64F3">
        <w:rPr>
          <w:rStyle w:val="normaltextrun"/>
          <w:sz w:val="20"/>
          <w:szCs w:val="20"/>
        </w:rPr>
        <w:t>ercentuale ore di docenza erogata da docenti assunti a tempo indeterminato sul totale delle ore di docenza erogata</w:t>
      </w:r>
      <w:r w:rsidR="003A40A9">
        <w:rPr>
          <w:rStyle w:val="normaltextrun"/>
          <w:sz w:val="20"/>
          <w:szCs w:val="20"/>
        </w:rPr>
        <w:t>,</w:t>
      </w:r>
      <w:r w:rsidR="009228B5" w:rsidRPr="00DC64F3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>iC19BIS</w:t>
      </w:r>
      <w:r w:rsidR="009228B5">
        <w:rPr>
          <w:rStyle w:val="normaltextrun"/>
          <w:sz w:val="20"/>
          <w:szCs w:val="20"/>
        </w:rPr>
        <w:t xml:space="preserve"> -</w:t>
      </w:r>
      <w:r w:rsidR="009228B5" w:rsidRPr="00DC64F3">
        <w:rPr>
          <w:rStyle w:val="normaltextrun"/>
          <w:sz w:val="20"/>
          <w:szCs w:val="20"/>
        </w:rPr>
        <w:t xml:space="preserve"> </w:t>
      </w:r>
      <w:r w:rsidR="009228B5" w:rsidRPr="009228B5">
        <w:rPr>
          <w:rStyle w:val="normaltextrun"/>
          <w:sz w:val="20"/>
          <w:szCs w:val="20"/>
        </w:rPr>
        <w:t xml:space="preserve">Ore di docenza erogata da docenti assunti a tempo indeterminato </w:t>
      </w:r>
      <w:proofErr w:type="gramStart"/>
      <w:r w:rsidR="009228B5">
        <w:rPr>
          <w:rStyle w:val="normaltextrun"/>
          <w:sz w:val="20"/>
          <w:szCs w:val="20"/>
        </w:rPr>
        <w:t xml:space="preserve">e </w:t>
      </w:r>
      <w:r w:rsidR="009228B5" w:rsidRPr="009228B5">
        <w:rPr>
          <w:rStyle w:val="normaltextrun"/>
          <w:sz w:val="20"/>
          <w:szCs w:val="20"/>
        </w:rPr>
        <w:t xml:space="preserve"> ricercatori</w:t>
      </w:r>
      <w:proofErr w:type="gramEnd"/>
      <w:r w:rsidR="009228B5" w:rsidRPr="009228B5">
        <w:rPr>
          <w:rStyle w:val="normaltextrun"/>
          <w:sz w:val="20"/>
          <w:szCs w:val="20"/>
        </w:rPr>
        <w:t xml:space="preserve"> di tipo B</w:t>
      </w:r>
      <w:r w:rsidRPr="00A36E66">
        <w:rPr>
          <w:rStyle w:val="normaltextrun"/>
          <w:sz w:val="20"/>
          <w:szCs w:val="20"/>
        </w:rPr>
        <w:t>, iC19TER</w:t>
      </w:r>
      <w:r w:rsidR="009228B5">
        <w:rPr>
          <w:rStyle w:val="normaltextrun"/>
          <w:sz w:val="20"/>
          <w:szCs w:val="20"/>
        </w:rPr>
        <w:t xml:space="preserve"> -</w:t>
      </w:r>
      <w:r w:rsidR="009228B5" w:rsidRPr="009228B5">
        <w:rPr>
          <w:rStyle w:val="normaltextrun"/>
          <w:sz w:val="20"/>
          <w:szCs w:val="20"/>
        </w:rPr>
        <w:t xml:space="preserve"> Ore di docenza erogata da docenti assunti a tempo indeterminato </w:t>
      </w:r>
      <w:r w:rsidR="009228B5">
        <w:rPr>
          <w:rStyle w:val="normaltextrun"/>
          <w:sz w:val="20"/>
          <w:szCs w:val="20"/>
        </w:rPr>
        <w:t xml:space="preserve">e </w:t>
      </w:r>
      <w:r w:rsidR="009228B5" w:rsidRPr="009228B5">
        <w:rPr>
          <w:rStyle w:val="normaltextrun"/>
          <w:sz w:val="20"/>
          <w:szCs w:val="20"/>
        </w:rPr>
        <w:t xml:space="preserve"> ricercatori di tipo </w:t>
      </w:r>
      <w:r w:rsidR="009228B5">
        <w:rPr>
          <w:rStyle w:val="normaltextrun"/>
          <w:sz w:val="20"/>
          <w:szCs w:val="20"/>
        </w:rPr>
        <w:t xml:space="preserve">A e </w:t>
      </w:r>
      <w:r w:rsidR="009228B5" w:rsidRPr="009228B5">
        <w:rPr>
          <w:rStyle w:val="normaltextrun"/>
          <w:sz w:val="20"/>
          <w:szCs w:val="20"/>
        </w:rPr>
        <w:t>B</w:t>
      </w:r>
      <w:r w:rsidR="009228B5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>registrano un minor ricorso a contratti rispetto ai </w:t>
      </w:r>
      <w:proofErr w:type="spellStart"/>
      <w:r w:rsidRPr="00A36E66">
        <w:rPr>
          <w:rStyle w:val="normaltextrun"/>
          <w:sz w:val="20"/>
          <w:szCs w:val="20"/>
        </w:rPr>
        <w:t>CdS</w:t>
      </w:r>
      <w:proofErr w:type="spellEnd"/>
      <w:r w:rsidRPr="00A36E66">
        <w:rPr>
          <w:rStyle w:val="normaltextrun"/>
          <w:sz w:val="20"/>
          <w:szCs w:val="20"/>
        </w:rPr>
        <w:t xml:space="preserve"> presso gli altri atenei e più affidamenti a RTDA. </w:t>
      </w:r>
      <w:r w:rsidR="001B0C71" w:rsidRPr="00A36E66">
        <w:rPr>
          <w:rStyle w:val="normaltextrun"/>
          <w:sz w:val="20"/>
          <w:szCs w:val="20"/>
        </w:rPr>
        <w:t xml:space="preserve">È auspicabile il </w:t>
      </w:r>
      <w:r w:rsidRPr="00A36E66">
        <w:rPr>
          <w:rStyle w:val="normaltextrun"/>
          <w:sz w:val="20"/>
          <w:szCs w:val="20"/>
        </w:rPr>
        <w:t xml:space="preserve">passaggio (di </w:t>
      </w:r>
      <w:r w:rsidR="001B0C71" w:rsidRPr="00A36E66">
        <w:rPr>
          <w:rStyle w:val="normaltextrun"/>
          <w:sz w:val="20"/>
          <w:szCs w:val="20"/>
        </w:rPr>
        <w:t xml:space="preserve">tutti o </w:t>
      </w:r>
      <w:r w:rsidRPr="00A36E66">
        <w:rPr>
          <w:rStyle w:val="normaltextrun"/>
          <w:sz w:val="20"/>
          <w:szCs w:val="20"/>
        </w:rPr>
        <w:t>una quota) di RTDA a RTDB</w:t>
      </w:r>
      <w:r w:rsidR="001B0C71" w:rsidRPr="00DC64F3">
        <w:rPr>
          <w:rStyle w:val="normaltextrun"/>
        </w:rPr>
        <w:t>.</w:t>
      </w:r>
    </w:p>
    <w:p w14:paraId="5ACF506D" w14:textId="77777777" w:rsidR="00EC6384" w:rsidRPr="00A36E66" w:rsidRDefault="00EC6384" w:rsidP="00A36E6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36E66">
        <w:rPr>
          <w:rStyle w:val="eop"/>
          <w:sz w:val="20"/>
          <w:szCs w:val="20"/>
        </w:rPr>
        <w:t> </w:t>
      </w:r>
    </w:p>
    <w:p w14:paraId="5E4D5251" w14:textId="2CDC3DF3" w:rsidR="00EC6384" w:rsidRPr="00A36E66" w:rsidRDefault="00A85CCB" w:rsidP="00A36E66">
      <w:pPr>
        <w:pStyle w:val="paragraph"/>
        <w:spacing w:before="0" w:beforeAutospacing="0" w:after="0" w:afterAutospacing="0"/>
        <w:jc w:val="both"/>
        <w:textAlignment w:val="baseline"/>
        <w:rPr>
          <w:color w:val="1F3763"/>
          <w:sz w:val="20"/>
          <w:szCs w:val="20"/>
        </w:rPr>
      </w:pPr>
      <w:r w:rsidRPr="00A36E66">
        <w:rPr>
          <w:rStyle w:val="normaltextrun"/>
          <w:sz w:val="20"/>
          <w:szCs w:val="20"/>
        </w:rPr>
        <w:t>Sebbene i</w:t>
      </w:r>
      <w:r w:rsidR="004A1D8C" w:rsidRPr="00A36E66">
        <w:rPr>
          <w:rStyle w:val="normaltextrun"/>
          <w:sz w:val="20"/>
          <w:szCs w:val="20"/>
        </w:rPr>
        <w:t xml:space="preserve"> </w:t>
      </w:r>
      <w:r w:rsidRPr="00A36E66">
        <w:rPr>
          <w:rStyle w:val="normaltextrun"/>
          <w:sz w:val="20"/>
          <w:szCs w:val="20"/>
        </w:rPr>
        <w:t>d</w:t>
      </w:r>
      <w:r w:rsidR="004A1D8C" w:rsidRPr="00A36E66">
        <w:rPr>
          <w:rStyle w:val="normaltextrun"/>
          <w:sz w:val="20"/>
          <w:szCs w:val="20"/>
        </w:rPr>
        <w:t xml:space="preserve">ati </w:t>
      </w:r>
      <w:r w:rsidRPr="00A36E66">
        <w:rPr>
          <w:rStyle w:val="normaltextrun"/>
          <w:sz w:val="20"/>
          <w:szCs w:val="20"/>
        </w:rPr>
        <w:t xml:space="preserve">siano </w:t>
      </w:r>
      <w:r w:rsidR="004A1D8C" w:rsidRPr="00A36E66">
        <w:rPr>
          <w:rStyle w:val="normaltextrun"/>
          <w:sz w:val="20"/>
          <w:szCs w:val="20"/>
        </w:rPr>
        <w:t xml:space="preserve">ancora preliminari, </w:t>
      </w:r>
      <w:r w:rsidR="000739B7">
        <w:rPr>
          <w:rStyle w:val="normaltextrun"/>
          <w:sz w:val="20"/>
          <w:szCs w:val="20"/>
        </w:rPr>
        <w:t>gli studenti</w:t>
      </w:r>
      <w:r w:rsidR="004A1D8C" w:rsidRPr="00A36E66">
        <w:rPr>
          <w:rStyle w:val="eop"/>
          <w:sz w:val="20"/>
          <w:szCs w:val="20"/>
        </w:rPr>
        <w:t> </w:t>
      </w:r>
      <w:r w:rsidR="000739B7">
        <w:rPr>
          <w:rStyle w:val="eop"/>
          <w:sz w:val="20"/>
          <w:szCs w:val="20"/>
        </w:rPr>
        <w:t>che proseguono la carriera nel sistema universitario al II anno</w:t>
      </w:r>
      <w:r w:rsidR="000739B7" w:rsidRPr="00A36E66" w:rsidDel="003A40A9">
        <w:rPr>
          <w:rStyle w:val="eop"/>
          <w:sz w:val="20"/>
          <w:szCs w:val="20"/>
        </w:rPr>
        <w:t xml:space="preserve"> </w:t>
      </w:r>
      <w:r w:rsidR="000739B7">
        <w:rPr>
          <w:rStyle w:val="eop"/>
          <w:sz w:val="20"/>
          <w:szCs w:val="20"/>
        </w:rPr>
        <w:t>(</w:t>
      </w:r>
      <w:r w:rsidR="000739B7" w:rsidRPr="00A36E66">
        <w:rPr>
          <w:rStyle w:val="eop"/>
          <w:sz w:val="20"/>
          <w:szCs w:val="20"/>
        </w:rPr>
        <w:t>iC21</w:t>
      </w:r>
      <w:r w:rsidR="000739B7">
        <w:rPr>
          <w:rStyle w:val="eop"/>
          <w:sz w:val="20"/>
          <w:szCs w:val="20"/>
        </w:rPr>
        <w:t>) sono il 100% e di questi solo uno studente ha cambiato corso di stud</w:t>
      </w:r>
      <w:r w:rsidR="00F2030E">
        <w:rPr>
          <w:rStyle w:val="eop"/>
          <w:sz w:val="20"/>
          <w:szCs w:val="20"/>
        </w:rPr>
        <w:t>i</w:t>
      </w:r>
      <w:r w:rsidR="004A1D8C" w:rsidRPr="00A36E66">
        <w:rPr>
          <w:rStyle w:val="eop"/>
          <w:sz w:val="20"/>
          <w:szCs w:val="20"/>
        </w:rPr>
        <w:t xml:space="preserve"> </w:t>
      </w:r>
      <w:r w:rsidR="000739B7">
        <w:rPr>
          <w:rStyle w:val="eop"/>
          <w:sz w:val="20"/>
          <w:szCs w:val="20"/>
        </w:rPr>
        <w:t>(</w:t>
      </w:r>
      <w:r w:rsidR="004A1D8C" w:rsidRPr="00A36E66">
        <w:rPr>
          <w:rStyle w:val="eop"/>
          <w:sz w:val="20"/>
          <w:szCs w:val="20"/>
        </w:rPr>
        <w:t>iC23)</w:t>
      </w:r>
      <w:r w:rsidR="000739B7">
        <w:rPr>
          <w:rStyle w:val="eop"/>
          <w:sz w:val="20"/>
          <w:szCs w:val="20"/>
        </w:rPr>
        <w:t>.</w:t>
      </w:r>
    </w:p>
    <w:p w14:paraId="03885EEC" w14:textId="77777777" w:rsidR="00EC6384" w:rsidRPr="00A36E66" w:rsidRDefault="00EC6384" w:rsidP="00A36E66">
      <w:pPr>
        <w:pStyle w:val="outlineelement"/>
        <w:spacing w:before="0" w:beforeAutospacing="0" w:after="0" w:afterAutospacing="0"/>
        <w:ind w:left="1080"/>
        <w:jc w:val="both"/>
        <w:textAlignment w:val="baseline"/>
        <w:rPr>
          <w:sz w:val="20"/>
          <w:szCs w:val="20"/>
        </w:rPr>
      </w:pPr>
      <w:r w:rsidRPr="00A36E66">
        <w:rPr>
          <w:color w:val="000000"/>
          <w:sz w:val="20"/>
          <w:szCs w:val="20"/>
          <w:shd w:val="clear" w:color="auto" w:fill="FFFFFF"/>
        </w:rPr>
        <w:br/>
      </w:r>
    </w:p>
    <w:p w14:paraId="0C0E000A" w14:textId="77777777" w:rsidR="00157ABC" w:rsidRPr="00A36E66" w:rsidRDefault="00157ABC" w:rsidP="00A36E6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57ABC" w:rsidRPr="00A36E66" w:rsidSect="001345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FF8"/>
    <w:multiLevelType w:val="multilevel"/>
    <w:tmpl w:val="39A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55817"/>
    <w:multiLevelType w:val="multilevel"/>
    <w:tmpl w:val="72C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5A65"/>
    <w:multiLevelType w:val="multilevel"/>
    <w:tmpl w:val="214A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05039"/>
    <w:multiLevelType w:val="multilevel"/>
    <w:tmpl w:val="B33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34115"/>
    <w:multiLevelType w:val="multilevel"/>
    <w:tmpl w:val="51E673A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0E3DF4"/>
    <w:multiLevelType w:val="multilevel"/>
    <w:tmpl w:val="175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BB7947"/>
    <w:multiLevelType w:val="multilevel"/>
    <w:tmpl w:val="D1F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093294"/>
    <w:multiLevelType w:val="multilevel"/>
    <w:tmpl w:val="404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F85F07"/>
    <w:multiLevelType w:val="multilevel"/>
    <w:tmpl w:val="C37A93C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B12F3B"/>
    <w:multiLevelType w:val="multilevel"/>
    <w:tmpl w:val="4080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C54C14"/>
    <w:multiLevelType w:val="multilevel"/>
    <w:tmpl w:val="BFE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453611"/>
    <w:multiLevelType w:val="multilevel"/>
    <w:tmpl w:val="B37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37655C"/>
    <w:multiLevelType w:val="multilevel"/>
    <w:tmpl w:val="A4A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4"/>
    <w:rsid w:val="000739B7"/>
    <w:rsid w:val="000B636C"/>
    <w:rsid w:val="000D358A"/>
    <w:rsid w:val="00134512"/>
    <w:rsid w:val="00157ABC"/>
    <w:rsid w:val="001B0C71"/>
    <w:rsid w:val="00272300"/>
    <w:rsid w:val="002E356C"/>
    <w:rsid w:val="003A40A9"/>
    <w:rsid w:val="003A5888"/>
    <w:rsid w:val="004028DB"/>
    <w:rsid w:val="004A1D8C"/>
    <w:rsid w:val="004D6A4A"/>
    <w:rsid w:val="00575F56"/>
    <w:rsid w:val="005B0B47"/>
    <w:rsid w:val="005B7FFE"/>
    <w:rsid w:val="006A5A9C"/>
    <w:rsid w:val="006F3CBB"/>
    <w:rsid w:val="007A4E40"/>
    <w:rsid w:val="008B3959"/>
    <w:rsid w:val="008C17F1"/>
    <w:rsid w:val="008F0F96"/>
    <w:rsid w:val="009228B5"/>
    <w:rsid w:val="00963B31"/>
    <w:rsid w:val="009F3AD2"/>
    <w:rsid w:val="00A36E66"/>
    <w:rsid w:val="00A85CCB"/>
    <w:rsid w:val="00AB4027"/>
    <w:rsid w:val="00B74853"/>
    <w:rsid w:val="00C222DC"/>
    <w:rsid w:val="00D94CAE"/>
    <w:rsid w:val="00DA06C6"/>
    <w:rsid w:val="00DC64F3"/>
    <w:rsid w:val="00E1468E"/>
    <w:rsid w:val="00E806D2"/>
    <w:rsid w:val="00EC6384"/>
    <w:rsid w:val="00EE2631"/>
    <w:rsid w:val="00F2030E"/>
    <w:rsid w:val="00F7484C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F170"/>
  <w15:chartTrackingRefBased/>
  <w15:docId w15:val="{63632EF2-E477-C344-91E4-83FF7131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5888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Georgia" w:eastAsia="Times New Roman" w:hAnsi="Georgia" w:cs="Times New Roman"/>
      <w:b/>
      <w:noProof/>
      <w:spacing w:val="4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5888"/>
    <w:rPr>
      <w:rFonts w:ascii="Georgia" w:eastAsia="Times New Roman" w:hAnsi="Georgia" w:cs="Times New Roman"/>
      <w:b/>
      <w:noProof/>
      <w:spacing w:val="40"/>
      <w:sz w:val="48"/>
      <w:szCs w:val="20"/>
      <w:lang w:eastAsia="it-IT"/>
    </w:rPr>
  </w:style>
  <w:style w:type="paragraph" w:customStyle="1" w:styleId="paragraph">
    <w:name w:val="paragraph"/>
    <w:basedOn w:val="Normale"/>
    <w:rsid w:val="00EC6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C6384"/>
  </w:style>
  <w:style w:type="character" w:customStyle="1" w:styleId="eop">
    <w:name w:val="eop"/>
    <w:basedOn w:val="Carpredefinitoparagrafo"/>
    <w:rsid w:val="00EC6384"/>
  </w:style>
  <w:style w:type="character" w:customStyle="1" w:styleId="scxw65729482">
    <w:name w:val="scxw65729482"/>
    <w:basedOn w:val="Carpredefinitoparagrafo"/>
    <w:rsid w:val="00EC6384"/>
  </w:style>
  <w:style w:type="paragraph" w:customStyle="1" w:styleId="outlineelement">
    <w:name w:val="outlineelement"/>
    <w:basedOn w:val="Normale"/>
    <w:rsid w:val="00EC6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EC63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A9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A9C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0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C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C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C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C71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228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Rossano</dc:creator>
  <cp:keywords/>
  <dc:description/>
  <cp:lastModifiedBy>Marcella Cives</cp:lastModifiedBy>
  <cp:revision>18</cp:revision>
  <dcterms:created xsi:type="dcterms:W3CDTF">2021-11-22T11:58:00Z</dcterms:created>
  <dcterms:modified xsi:type="dcterms:W3CDTF">2021-11-25T08:44:00Z</dcterms:modified>
</cp:coreProperties>
</file>