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6.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Default"/>
        <w:jc w:val="center"/>
        <w:rPr/>
      </w:pPr>
      <w:r>
        <w:rPr/>
        <w:drawing>
          <wp:inline distT="0" distB="0" distL="0" distR="0">
            <wp:extent cx="1962150" cy="654050"/>
            <wp:effectExtent l="0" t="0" r="0" b="0"/>
            <wp:docPr id="0" name="Picture" descr="C:\Users\utente\Desktop\università\logo uniba\logo_UNIB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C:\Users\utente\Desktop\università\logo uniba\logo_UNIBA_CMYK.jpg"/>
                    <pic:cNvPicPr>
                      <a:picLocks noChangeAspect="1" noChangeArrowheads="1"/>
                    </pic:cNvPicPr>
                  </pic:nvPicPr>
                  <pic:blipFill>
                    <a:blip r:embed="rId2"/>
                    <a:stretch>
                      <a:fillRect/>
                    </a:stretch>
                  </pic:blipFill>
                  <pic:spPr bwMode="auto">
                    <a:xfrm>
                      <a:off x="0" y="0"/>
                      <a:ext cx="1962150" cy="654050"/>
                    </a:xfrm>
                    <a:prstGeom prst="rect">
                      <a:avLst/>
                    </a:prstGeom>
                    <a:noFill/>
                    <a:ln w="9525">
                      <a:noFill/>
                      <a:miter lim="800000"/>
                      <a:headEnd/>
                      <a:tailEnd/>
                    </a:ln>
                  </pic:spPr>
                </pic:pic>
              </a:graphicData>
            </a:graphic>
          </wp:inline>
        </w:drawing>
      </w:r>
    </w:p>
    <w:p>
      <w:pPr>
        <w:pStyle w:val="Normal"/>
        <w:spacing w:lineRule="auto" w:line="240" w:before="0" w:after="0"/>
        <w:rPr>
          <w:rFonts w:cs="Arial"/>
          <w:color w:val="000000"/>
          <w:lang w:eastAsia="it-IT"/>
        </w:rPr>
      </w:pPr>
      <w:r>
        <w:rPr>
          <w:rFonts w:cs="Arial"/>
          <w:color w:val="000000"/>
          <w:lang w:eastAsia="it-IT"/>
        </w:rPr>
      </w:r>
    </w:p>
    <w:p>
      <w:pPr>
        <w:pStyle w:val="Normal"/>
        <w:spacing w:lineRule="exact" w:line="200" w:before="240" w:after="160"/>
        <w:jc w:val="center"/>
        <w:rPr>
          <w:b/>
        </w:rPr>
      </w:pPr>
      <w:r>
        <w:rPr>
          <w:b/>
        </w:rPr>
        <w:t>DIPARTIMENTO / SCUOLA  DI ..........................................</w:t>
      </w:r>
    </w:p>
    <w:p>
      <w:pPr>
        <w:pStyle w:val="Normal"/>
        <w:spacing w:lineRule="exact" w:line="200" w:before="240" w:after="160"/>
        <w:jc w:val="center"/>
        <w:rPr>
          <w:b/>
        </w:rPr>
      </w:pPr>
      <w:r>
        <w:rPr>
          <w:b/>
        </w:rPr>
        <w:t>COMMISSIONE PARITETICA</w:t>
      </w:r>
    </w:p>
    <w:p>
      <w:pPr>
        <w:pStyle w:val="Normal"/>
        <w:spacing w:lineRule="exact" w:line="200" w:before="240" w:after="160"/>
        <w:jc w:val="center"/>
        <w:rPr>
          <w:b/>
        </w:rPr>
      </w:pPr>
      <w:r>
        <w:rPr>
          <w:b/>
        </w:rPr>
        <w:t>RELAZIONE ANNUALE 2018</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459"/>
        <w:gridCol w:w="1489"/>
        <w:gridCol w:w="3321"/>
        <w:gridCol w:w="4540"/>
      </w:tblGrid>
      <w:tr>
        <w:trPr>
          <w:cantSplit w:val="false"/>
        </w:trPr>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center"/>
              <w:rPr>
                <w:b/>
              </w:rPr>
            </w:pPr>
            <w:r>
              <w:rPr>
                <w:b/>
              </w:rPr>
              <w:t>n.</w:t>
            </w:r>
          </w:p>
        </w:tc>
        <w:tc>
          <w:tcPr>
            <w:tcW w:w="1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center"/>
              <w:rPr>
                <w:b/>
              </w:rPr>
            </w:pPr>
            <w:r>
              <w:rPr>
                <w:b/>
              </w:rPr>
              <w:t>Classe del CdS</w:t>
            </w:r>
          </w:p>
        </w:tc>
        <w:tc>
          <w:tcPr>
            <w:tcW w:w="3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center"/>
              <w:rPr>
                <w:b/>
              </w:rPr>
            </w:pPr>
            <w:r>
              <w:rPr>
                <w:b/>
              </w:rPr>
              <w:t>Denominazione del Corso di Studio</w:t>
            </w:r>
          </w:p>
        </w:tc>
        <w:tc>
          <w:tcPr>
            <w:tcW w:w="45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center"/>
              <w:rPr>
                <w:b/>
              </w:rPr>
            </w:pPr>
            <w:r>
              <w:rPr>
                <w:b/>
              </w:rPr>
              <w:t>Struttura didattica di riferimento</w:t>
            </w:r>
          </w:p>
        </w:tc>
      </w:tr>
      <w:tr>
        <w:trPr>
          <w:cantSplit w:val="false"/>
        </w:trPr>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both"/>
              <w:rPr/>
            </w:pPr>
            <w:r>
              <w:rPr/>
              <w:t>1</w:t>
            </w:r>
          </w:p>
        </w:tc>
        <w:tc>
          <w:tcPr>
            <w:tcW w:w="1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spacing w:before="0" w:after="160"/>
              <w:jc w:val="both"/>
              <w:rPr/>
            </w:pPr>
            <w:r>
              <w:rPr/>
            </w:r>
          </w:p>
        </w:tc>
        <w:tc>
          <w:tcPr>
            <w:tcW w:w="3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spacing w:before="0" w:after="160"/>
              <w:jc w:val="both"/>
              <w:rPr/>
            </w:pPr>
            <w:r>
              <w:rPr/>
            </w:r>
          </w:p>
        </w:tc>
        <w:tc>
          <w:tcPr>
            <w:tcW w:w="45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rPr/>
            </w:pPr>
            <w:r>
              <w:rPr/>
              <w:t>Specificare la denominazione del Consiglio di: CdS / Classe / Interclasse</w:t>
            </w:r>
          </w:p>
          <w:p>
            <w:pPr>
              <w:pStyle w:val="Normal"/>
              <w:widowControl/>
              <w:suppressAutoHyphens w:val="true"/>
              <w:bidi w:val="0"/>
              <w:spacing w:lineRule="auto" w:line="254" w:before="0" w:after="160"/>
              <w:jc w:val="left"/>
              <w:rPr/>
            </w:pPr>
            <w:r>
              <w:rPr/>
              <w:t>Specificare se in collaborazione con altro Dip.</w:t>
            </w:r>
          </w:p>
        </w:tc>
      </w:tr>
      <w:tr>
        <w:trPr>
          <w:cantSplit w:val="false"/>
        </w:trPr>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both"/>
              <w:rPr/>
            </w:pPr>
            <w:r>
              <w:rPr/>
              <w:t>2</w:t>
            </w:r>
          </w:p>
        </w:tc>
        <w:tc>
          <w:tcPr>
            <w:tcW w:w="1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spacing w:before="0" w:after="160"/>
              <w:jc w:val="both"/>
              <w:rPr/>
            </w:pPr>
            <w:r>
              <w:rPr/>
            </w:r>
          </w:p>
        </w:tc>
        <w:tc>
          <w:tcPr>
            <w:tcW w:w="3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bottom"/>
          </w:tcPr>
          <w:p>
            <w:pPr>
              <w:pStyle w:val="Normal"/>
              <w:spacing w:before="0" w:after="160"/>
              <w:jc w:val="both"/>
              <w:rPr/>
            </w:pPr>
            <w:r>
              <w:rPr/>
            </w:r>
          </w:p>
        </w:tc>
        <w:tc>
          <w:tcPr>
            <w:tcW w:w="45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Header"/>
              <w:rPr>
                <w:rFonts w:ascii="Cambria" w:hAnsi="Cambria"/>
                <w:sz w:val="22"/>
                <w:szCs w:val="22"/>
              </w:rPr>
            </w:pPr>
            <w:r>
              <w:rPr>
                <w:rFonts w:ascii="Cambria" w:hAnsi="Cambria"/>
                <w:sz w:val="22"/>
                <w:szCs w:val="22"/>
              </w:rPr>
            </w:r>
          </w:p>
        </w:tc>
      </w:tr>
      <w:tr>
        <w:trPr>
          <w:cantSplit w:val="false"/>
        </w:trPr>
        <w:tc>
          <w:tcPr>
            <w:tcW w:w="45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160"/>
              <w:jc w:val="both"/>
              <w:rPr/>
            </w:pPr>
            <w:r>
              <w:rPr/>
              <w:t>3</w:t>
            </w:r>
          </w:p>
        </w:tc>
        <w:tc>
          <w:tcPr>
            <w:tcW w:w="1489"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spacing w:before="0" w:after="160"/>
              <w:jc w:val="both"/>
              <w:rPr/>
            </w:pPr>
            <w:r>
              <w:rPr/>
            </w:r>
          </w:p>
        </w:tc>
        <w:tc>
          <w:tcPr>
            <w:tcW w:w="33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bottom"/>
          </w:tcPr>
          <w:p>
            <w:pPr>
              <w:pStyle w:val="Normal"/>
              <w:spacing w:before="0" w:after="160"/>
              <w:jc w:val="both"/>
              <w:rPr/>
            </w:pPr>
            <w:r>
              <w:rPr/>
            </w:r>
          </w:p>
        </w:tc>
        <w:tc>
          <w:tcPr>
            <w:tcW w:w="454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vAlign w:val="center"/>
          </w:tcPr>
          <w:p>
            <w:pPr>
              <w:pStyle w:val="Normal"/>
              <w:widowControl/>
              <w:suppressAutoHyphens w:val="true"/>
              <w:bidi w:val="0"/>
              <w:spacing w:lineRule="auto" w:line="254" w:before="0" w:after="160"/>
              <w:jc w:val="left"/>
              <w:rPr/>
            </w:pPr>
            <w:r>
              <w:rPr/>
            </w:r>
          </w:p>
        </w:tc>
      </w:tr>
    </w:tbl>
    <w:p>
      <w:pPr>
        <w:pStyle w:val="Normal"/>
        <w:rPr>
          <w:rFonts w:cs="Lucida Sans Unicode"/>
          <w:color w:val="000000"/>
        </w:rPr>
      </w:pPr>
      <w:r>
        <w:rPr>
          <w:rFonts w:cs="Lucida Sans Unicode"/>
          <w:color w:val="000000"/>
        </w:rPr>
      </w:r>
    </w:p>
    <w:p>
      <w:pPr>
        <w:pStyle w:val="Default"/>
        <w:rPr>
          <w:rFonts w:ascii="Cambria" w:hAnsi="Cambria"/>
          <w:b/>
          <w:sz w:val="22"/>
          <w:szCs w:val="22"/>
        </w:rPr>
      </w:pPr>
      <w:r>
        <w:rPr>
          <w:rFonts w:ascii="Cambria" w:hAnsi="Cambria"/>
          <w:b/>
          <w:bCs/>
          <w:sz w:val="22"/>
          <w:szCs w:val="22"/>
        </w:rPr>
        <w:t>Sede dei CdS</w:t>
      </w:r>
      <w:r>
        <w:rPr>
          <w:rFonts w:ascii="Cambria" w:hAnsi="Cambria"/>
          <w:b/>
          <w:sz w:val="22"/>
          <w:szCs w:val="22"/>
        </w:rPr>
        <w:t>:</w:t>
      </w:r>
    </w:p>
    <w:p>
      <w:pPr>
        <w:pStyle w:val="Default"/>
        <w:rPr>
          <w:rFonts w:ascii="Cambria" w:hAnsi="Cambria"/>
          <w:sz w:val="22"/>
          <w:szCs w:val="22"/>
        </w:rPr>
      </w:pPr>
      <w:r>
        <w:rPr>
          <w:rFonts w:ascii="Cambria" w:hAnsi="Cambria"/>
          <w:sz w:val="22"/>
          <w:szCs w:val="22"/>
        </w:rPr>
        <w:tab/>
        <w:t>Dipartimento di ………………………………… – Università degli Studi Bari “Aldo Moro”</w:t>
      </w:r>
    </w:p>
    <w:p>
      <w:pPr>
        <w:pStyle w:val="Default"/>
        <w:rPr>
          <w:rFonts w:ascii="Cambria" w:hAnsi="Cambria"/>
          <w:sz w:val="22"/>
          <w:szCs w:val="22"/>
        </w:rPr>
      </w:pPr>
      <w:r>
        <w:rPr>
          <w:rFonts w:ascii="Cambria" w:hAnsi="Cambria"/>
          <w:sz w:val="22"/>
          <w:szCs w:val="22"/>
        </w:rPr>
        <w:tab/>
        <w:t>Indirizzo:</w:t>
      </w:r>
    </w:p>
    <w:p>
      <w:pPr>
        <w:pStyle w:val="Default"/>
        <w:rPr>
          <w:rFonts w:ascii="Cambria" w:hAnsi="Cambria"/>
          <w:sz w:val="22"/>
          <w:szCs w:val="22"/>
        </w:rPr>
      </w:pPr>
      <w:r>
        <w:rPr>
          <w:rFonts w:ascii="Cambria" w:hAnsi="Cambria"/>
          <w:sz w:val="22"/>
          <w:szCs w:val="22"/>
        </w:rPr>
        <w:tab/>
        <w:t>Recapiti telefonici</w:t>
      </w:r>
    </w:p>
    <w:p>
      <w:pPr>
        <w:pStyle w:val="Default"/>
        <w:rPr>
          <w:rFonts w:ascii="Cambria" w:hAnsi="Cambria"/>
          <w:sz w:val="22"/>
          <w:szCs w:val="22"/>
        </w:rPr>
      </w:pPr>
      <w:r>
        <w:rPr>
          <w:rFonts w:ascii="Cambria" w:hAnsi="Cambria"/>
          <w:sz w:val="22"/>
          <w:szCs w:val="22"/>
        </w:rPr>
        <w:tab/>
        <w:t xml:space="preserve">Indirizzo mail  …………………. Sito web </w:t>
      </w:r>
    </w:p>
    <w:p>
      <w:pPr>
        <w:pStyle w:val="Normal"/>
        <w:spacing w:lineRule="auto" w:line="240" w:before="0" w:after="0"/>
        <w:rPr>
          <w:i/>
        </w:rPr>
      </w:pPr>
      <w:r>
        <w:rPr>
          <w:i/>
        </w:rPr>
        <w:t>(In caso di corsi di studio in sede decentrata indicarne anche l’indirizzo ed i recapiti</w:t>
      </w:r>
    </w:p>
    <w:p>
      <w:pPr>
        <w:pStyle w:val="Normal"/>
        <w:spacing w:lineRule="auto" w:line="240" w:before="0" w:after="0"/>
        <w:rPr>
          <w:i/>
        </w:rPr>
      </w:pPr>
      <w:r>
        <w:rPr>
          <w:i/>
        </w:rPr>
      </w:r>
    </w:p>
    <w:p>
      <w:pPr>
        <w:pStyle w:val="Normal"/>
        <w:spacing w:lineRule="exact" w:line="200" w:before="240" w:after="160"/>
        <w:jc w:val="center"/>
        <w:rPr>
          <w:b/>
        </w:rPr>
      </w:pPr>
      <w:r>
        <w:rPr>
          <w:b/>
        </w:rPr>
        <w:t>COMPOSIZIONE DELLA COMMISSIONE PARITETICA</w:t>
      </w:r>
    </w:p>
    <w:p>
      <w:pPr>
        <w:pStyle w:val="Header"/>
        <w:spacing w:lineRule="exact" w:line="200"/>
        <w:jc w:val="center"/>
        <w:rPr>
          <w:rFonts w:ascii="Cambria" w:hAnsi="Cambria"/>
          <w:sz w:val="22"/>
          <w:szCs w:val="22"/>
        </w:rPr>
      </w:pPr>
      <w:r>
        <w:rPr>
          <w:rFonts w:ascii="Cambria" w:hAnsi="Cambria"/>
          <w:sz w:val="22"/>
          <w:szCs w:val="22"/>
        </w:rPr>
        <w:t>Alla data del</w:t>
      </w:r>
      <w:r>
        <w:rPr>
          <w:rFonts w:ascii="Cambria" w:hAnsi="Cambria"/>
          <w:color w:val="FF0000"/>
          <w:sz w:val="22"/>
          <w:szCs w:val="22"/>
        </w:rPr>
        <w:t xml:space="preserve"> xx/yy/</w:t>
      </w:r>
      <w:r>
        <w:rPr>
          <w:rFonts w:ascii="Cambria" w:hAnsi="Cambria"/>
          <w:sz w:val="22"/>
          <w:szCs w:val="22"/>
        </w:rPr>
        <w:t>2018</w:t>
      </w:r>
    </w:p>
    <w:p>
      <w:pPr>
        <w:pStyle w:val="Header"/>
        <w:spacing w:lineRule="exact" w:line="200"/>
        <w:rPr>
          <w:rFonts w:ascii="Cambria" w:hAnsi="Cambria"/>
          <w:b/>
          <w:sz w:val="22"/>
          <w:szCs w:val="22"/>
        </w:rPr>
      </w:pPr>
      <w:r>
        <w:rPr>
          <w:rFonts w:ascii="Cambria" w:hAnsi="Cambria"/>
          <w:b/>
          <w:sz w:val="22"/>
          <w:szCs w:val="22"/>
        </w:rPr>
        <w:t>COORDINATORE</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3450"/>
        <w:gridCol w:w="2947"/>
        <w:gridCol w:w="3521"/>
      </w:tblGrid>
      <w:tr>
        <w:trPr>
          <w:trHeight w:val="477" w:hRule="atLeast"/>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Nome e Cognome</w:t>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Ruolo</w:t>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email</w:t>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i/>
                <w:color w:val="000000"/>
              </w:rPr>
              <w:t>Specificare il ruolo</w:t>
            </w:r>
            <w:r>
              <w:rPr>
                <w:rFonts w:cs="Lucida Sans Unicode"/>
                <w:b/>
                <w:color w:val="000000"/>
              </w:rPr>
              <w:t xml:space="preserve">  Direttore/Delegato</w:t>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bl>
    <w:p>
      <w:pPr>
        <w:pStyle w:val="Header"/>
        <w:spacing w:lineRule="exact" w:line="200"/>
        <w:rPr>
          <w:rFonts w:ascii="Cambria" w:hAnsi="Cambria"/>
          <w:sz w:val="22"/>
          <w:szCs w:val="22"/>
        </w:rPr>
      </w:pPr>
      <w:r>
        <w:rPr>
          <w:rFonts w:ascii="Cambria" w:hAnsi="Cambria"/>
          <w:sz w:val="22"/>
          <w:szCs w:val="22"/>
        </w:rPr>
      </w:r>
    </w:p>
    <w:p>
      <w:pPr>
        <w:pStyle w:val="Header"/>
        <w:spacing w:lineRule="exact" w:line="200"/>
        <w:rPr>
          <w:rFonts w:ascii="Cambria" w:hAnsi="Cambria"/>
          <w:b/>
          <w:sz w:val="22"/>
          <w:szCs w:val="22"/>
        </w:rPr>
      </w:pPr>
      <w:r>
        <w:rPr>
          <w:rFonts w:ascii="Cambria" w:hAnsi="Cambria"/>
          <w:b/>
          <w:sz w:val="22"/>
          <w:szCs w:val="22"/>
        </w:rPr>
        <w:t>DOCENTI</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3450"/>
        <w:gridCol w:w="2947"/>
        <w:gridCol w:w="3521"/>
      </w:tblGrid>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Nome e Cognome</w:t>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Ruolo</w:t>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email</w:t>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i/>
                <w:color w:val="000000"/>
              </w:rPr>
            </w:pPr>
            <w:r>
              <w:rPr>
                <w:rFonts w:cs="Lucida Sans Unicode"/>
                <w:i/>
                <w:color w:val="000000"/>
              </w:rPr>
              <w:t>Specificare il corso di studio che si rappresenta</w:t>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bl>
    <w:p>
      <w:pPr>
        <w:pStyle w:val="Normal"/>
        <w:spacing w:before="0" w:after="0"/>
        <w:rPr/>
      </w:pPr>
      <w:r>
        <w:rPr/>
      </w:r>
    </w:p>
    <w:p>
      <w:pPr>
        <w:pStyle w:val="Normal"/>
        <w:spacing w:before="0" w:after="0"/>
        <w:rPr>
          <w:b/>
        </w:rPr>
      </w:pPr>
      <w:r>
        <w:rPr>
          <w:b/>
        </w:rPr>
        <w:t>STUDENTI</w:t>
      </w:r>
    </w:p>
    <w:tbl>
      <w:tblPr>
        <w:jc w:val="left"/>
        <w:tblInd w:w="-5" w:type="dxa"/>
        <w:tblBorders>
          <w:top w:val="single" w:sz="4" w:space="0" w:color="00000A"/>
          <w:left w:val="single" w:sz="4" w:space="0" w:color="00000A"/>
          <w:bottom w:val="single" w:sz="4" w:space="0" w:color="00000A"/>
          <w:insideH w:val="single" w:sz="4" w:space="0" w:color="00000A"/>
          <w:right w:val="single" w:sz="4" w:space="0" w:color="00000A"/>
          <w:insideV w:val="single" w:sz="4" w:space="0" w:color="00000A"/>
        </w:tblBorders>
        <w:tblCellMar>
          <w:top w:w="0" w:type="dxa"/>
          <w:left w:w="103" w:type="dxa"/>
          <w:bottom w:w="0" w:type="dxa"/>
          <w:right w:w="108" w:type="dxa"/>
        </w:tblCellMar>
      </w:tblPr>
      <w:tblGrid>
        <w:gridCol w:w="3450"/>
        <w:gridCol w:w="2947"/>
        <w:gridCol w:w="3521"/>
      </w:tblGrid>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Nome e Cognome</w:t>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Corso di studio</w:t>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b/>
                <w:color w:val="000000"/>
              </w:rPr>
            </w:pPr>
            <w:r>
              <w:rPr>
                <w:rFonts w:cs="Lucida Sans Unicode"/>
                <w:b/>
                <w:color w:val="000000"/>
              </w:rPr>
              <w:t>email</w:t>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i/>
                <w:color w:val="000000"/>
              </w:rPr>
            </w:pPr>
            <w:r>
              <w:rPr>
                <w:rFonts w:cs="Lucida Sans Unicode"/>
                <w:i/>
                <w:color w:val="000000"/>
              </w:rPr>
              <w:t>Specificare il corso di studio che si rappresenta</w:t>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r>
        <w:trPr>
          <w:cantSplit w:val="false"/>
        </w:trPr>
        <w:tc>
          <w:tcPr>
            <w:tcW w:w="3450"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2947"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c>
          <w:tcPr>
            <w:tcW w:w="3521" w:type="dxa"/>
            <w:tcBorders>
              <w:top w:val="single" w:sz="4" w:space="0" w:color="00000A"/>
              <w:left w:val="single" w:sz="4" w:space="0" w:color="00000A"/>
              <w:bottom w:val="single" w:sz="4" w:space="0" w:color="00000A"/>
              <w:insideH w:val="single" w:sz="4" w:space="0" w:color="00000A"/>
              <w:right w:val="single" w:sz="4" w:space="0" w:color="00000A"/>
              <w:insideV w:val="single" w:sz="4" w:space="0" w:color="00000A"/>
            </w:tcBorders>
            <w:shd w:fill="FFFFFF" w:val="clear"/>
            <w:tcMar>
              <w:left w:w="103" w:type="dxa"/>
            </w:tcMar>
          </w:tcPr>
          <w:p>
            <w:pPr>
              <w:pStyle w:val="Normal"/>
              <w:spacing w:before="0" w:after="0"/>
              <w:rPr>
                <w:rFonts w:cs="Lucida Sans Unicode"/>
                <w:color w:val="000000"/>
              </w:rPr>
            </w:pPr>
            <w:r>
              <w:rPr>
                <w:rFonts w:cs="Lucida Sans Unicode"/>
                <w:color w:val="000000"/>
              </w:rPr>
            </w:r>
          </w:p>
        </w:tc>
      </w:tr>
    </w:tbl>
    <w:p>
      <w:pPr>
        <w:pStyle w:val="Normal"/>
        <w:spacing w:lineRule="auto" w:line="240" w:before="0" w:after="0"/>
        <w:rPr>
          <w:i/>
        </w:rPr>
      </w:pPr>
      <w:r>
        <w:rPr>
          <w:i/>
        </w:rPr>
      </w:r>
    </w:p>
    <w:p>
      <w:pPr>
        <w:pStyle w:val="Normal"/>
        <w:spacing w:lineRule="auto" w:line="240" w:before="0" w:after="0"/>
        <w:rPr>
          <w:rFonts w:cs="Arial"/>
          <w:color w:val="000000"/>
          <w:lang w:eastAsia="it-IT"/>
        </w:rPr>
      </w:pPr>
      <w:r>
        <w:rPr>
          <w:rFonts w:cs="Arial"/>
          <w:color w:val="000000"/>
          <w:lang w:eastAsia="it-IT"/>
        </w:rPr>
      </w:r>
    </w:p>
    <w:p>
      <w:pPr>
        <w:pStyle w:val="Normal"/>
        <w:pageBreakBefore/>
        <w:spacing w:lineRule="auto" w:line="240" w:before="0" w:after="0"/>
        <w:rPr>
          <w:rFonts w:cs="Lucida Sans Unicode"/>
          <w:b/>
          <w:color w:val="000000"/>
        </w:rPr>
      </w:pPr>
      <w:r>
        <w:rPr>
          <w:rFonts w:cs="Lucida Sans Unicode"/>
          <w:b/>
          <w:color w:val="000000"/>
        </w:rPr>
        <w:t>ATTIVITA’ DELLA COMMISSIONE PARITETICA</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jc w:val="both"/>
              <w:rPr/>
            </w:pPr>
            <w:r>
              <w:rPr/>
              <w:t xml:space="preserve">La Commissione Paritetica del Dipartimento/Scuola di ………….. ha consultato ed analizzato, per la stesura della Relazione Annuale, la seguente documentazione: </w:t>
            </w:r>
          </w:p>
          <w:p>
            <w:pPr>
              <w:pStyle w:val="Default"/>
              <w:numPr>
                <w:ilvl w:val="0"/>
                <w:numId w:val="2"/>
              </w:numPr>
              <w:rPr>
                <w:rFonts w:ascii="Cambria" w:hAnsi="Cambria"/>
                <w:sz w:val="22"/>
                <w:szCs w:val="22"/>
              </w:rPr>
            </w:pPr>
            <w:r>
              <w:rPr>
                <w:rFonts w:ascii="Cambria" w:hAnsi="Cambria"/>
                <w:sz w:val="22"/>
                <w:szCs w:val="22"/>
              </w:rPr>
              <w:t>SUA- CdS dei singoli corsi afferenti alla struttura didattica.</w:t>
            </w:r>
          </w:p>
          <w:p>
            <w:pPr>
              <w:pStyle w:val="Default"/>
              <w:numPr>
                <w:ilvl w:val="0"/>
                <w:numId w:val="2"/>
              </w:numPr>
              <w:rPr>
                <w:rFonts w:ascii="Cambria" w:hAnsi="Cambria"/>
                <w:sz w:val="22"/>
                <w:szCs w:val="22"/>
              </w:rPr>
            </w:pPr>
            <w:r>
              <w:rPr>
                <w:rFonts w:ascii="Cambria" w:hAnsi="Cambria"/>
                <w:sz w:val="22"/>
                <w:szCs w:val="22"/>
              </w:rPr>
              <w:t>Scheda di monitoraggio annuale dei CdS</w:t>
            </w:r>
          </w:p>
          <w:p>
            <w:pPr>
              <w:pStyle w:val="Default"/>
              <w:numPr>
                <w:ilvl w:val="0"/>
                <w:numId w:val="2"/>
              </w:numPr>
              <w:rPr>
                <w:rFonts w:ascii="Cambria" w:hAnsi="Cambria"/>
                <w:sz w:val="22"/>
                <w:szCs w:val="22"/>
              </w:rPr>
            </w:pPr>
            <w:r>
              <w:rPr>
                <w:rFonts w:ascii="Cambria" w:hAnsi="Cambria"/>
                <w:sz w:val="22"/>
                <w:szCs w:val="22"/>
              </w:rPr>
              <w:t>Schede Opinioni degli studenti</w:t>
            </w:r>
          </w:p>
          <w:p>
            <w:pPr>
              <w:pStyle w:val="Default"/>
              <w:numPr>
                <w:ilvl w:val="0"/>
                <w:numId w:val="2"/>
              </w:numPr>
              <w:rPr>
                <w:rFonts w:ascii="Cambria" w:hAnsi="Cambria"/>
                <w:sz w:val="22"/>
                <w:szCs w:val="22"/>
              </w:rPr>
            </w:pPr>
            <w:r>
              <w:rPr>
                <w:rFonts w:ascii="Cambria" w:hAnsi="Cambria"/>
                <w:sz w:val="22"/>
                <w:szCs w:val="22"/>
              </w:rPr>
              <w:t>Risultati questionari Almalaurea compilati dai laureati</w:t>
            </w:r>
          </w:p>
          <w:p>
            <w:pPr>
              <w:pStyle w:val="Default"/>
              <w:numPr>
                <w:ilvl w:val="0"/>
                <w:numId w:val="2"/>
              </w:numPr>
              <w:rPr>
                <w:rFonts w:ascii="Cambria" w:hAnsi="Cambria"/>
                <w:sz w:val="22"/>
                <w:szCs w:val="22"/>
              </w:rPr>
            </w:pPr>
            <w:r>
              <w:rPr>
                <w:rFonts w:ascii="Cambria" w:hAnsi="Cambria"/>
                <w:sz w:val="22"/>
                <w:szCs w:val="22"/>
              </w:rPr>
              <w:t>Documentazione relativa all’organizzazione didattica dei singoli corsi</w:t>
            </w:r>
          </w:p>
          <w:p>
            <w:pPr>
              <w:pStyle w:val="Default"/>
              <w:numPr>
                <w:ilvl w:val="0"/>
                <w:numId w:val="2"/>
              </w:numPr>
              <w:rPr>
                <w:rFonts w:ascii="Cambria" w:hAnsi="Cambria"/>
                <w:sz w:val="22"/>
                <w:szCs w:val="22"/>
              </w:rPr>
            </w:pPr>
            <w:r>
              <w:rPr>
                <w:rFonts w:ascii="Cambria" w:hAnsi="Cambria"/>
                <w:sz w:val="22"/>
                <w:szCs w:val="22"/>
              </w:rPr>
              <w:t>Documentazione per l’Assicurazione della Qualità di Ateneo</w:t>
            </w:r>
          </w:p>
          <w:p>
            <w:pPr>
              <w:pStyle w:val="Default"/>
              <w:numPr>
                <w:ilvl w:val="0"/>
                <w:numId w:val="2"/>
              </w:numPr>
              <w:rPr>
                <w:rFonts w:ascii="Cambria" w:hAnsi="Cambria"/>
                <w:sz w:val="22"/>
                <w:szCs w:val="22"/>
              </w:rPr>
            </w:pPr>
            <w:r>
              <w:rPr>
                <w:rFonts w:ascii="Cambria" w:hAnsi="Cambria"/>
                <w:sz w:val="22"/>
                <w:szCs w:val="22"/>
              </w:rPr>
              <w:t>Documento Politiche Integrate del Dipartimento</w:t>
            </w:r>
          </w:p>
          <w:p>
            <w:pPr>
              <w:pStyle w:val="Default"/>
              <w:numPr>
                <w:ilvl w:val="0"/>
                <w:numId w:val="2"/>
              </w:numPr>
              <w:rPr>
                <w:rFonts w:ascii="Cambria" w:hAnsi="Cambria"/>
                <w:sz w:val="22"/>
                <w:szCs w:val="22"/>
              </w:rPr>
            </w:pPr>
            <w:r>
              <w:rPr>
                <w:rFonts w:ascii="Cambria" w:hAnsi="Cambria"/>
                <w:sz w:val="22"/>
                <w:szCs w:val="22"/>
              </w:rPr>
              <w:t>Verbali e documentazione riunioni precedenti</w:t>
            </w:r>
          </w:p>
          <w:p>
            <w:pPr>
              <w:pStyle w:val="Default"/>
              <w:numPr>
                <w:ilvl w:val="0"/>
                <w:numId w:val="2"/>
              </w:numPr>
              <w:rPr>
                <w:rFonts w:ascii="Cambria" w:hAnsi="Cambria"/>
                <w:sz w:val="22"/>
                <w:szCs w:val="22"/>
              </w:rPr>
            </w:pPr>
            <w:r>
              <w:rPr>
                <w:rFonts w:ascii="Cambria" w:hAnsi="Cambria"/>
                <w:sz w:val="22"/>
                <w:szCs w:val="22"/>
              </w:rPr>
              <w:t>Relazione Annuale della CP 2017</w:t>
            </w:r>
          </w:p>
          <w:p>
            <w:pPr>
              <w:pStyle w:val="Default"/>
              <w:numPr>
                <w:ilvl w:val="0"/>
                <w:numId w:val="2"/>
              </w:numPr>
              <w:rPr>
                <w:rFonts w:ascii="Cambria" w:hAnsi="Cambria"/>
                <w:sz w:val="22"/>
                <w:szCs w:val="22"/>
              </w:rPr>
            </w:pPr>
            <w:r>
              <w:rPr>
                <w:rFonts w:ascii="Cambria" w:hAnsi="Cambria"/>
                <w:sz w:val="22"/>
                <w:szCs w:val="22"/>
              </w:rPr>
              <w:t>Rapporto di Riesame annuale (SMA) 2017</w:t>
            </w:r>
          </w:p>
          <w:p>
            <w:pPr>
              <w:pStyle w:val="Default"/>
              <w:numPr>
                <w:ilvl w:val="0"/>
                <w:numId w:val="2"/>
              </w:numPr>
              <w:rPr>
                <w:rFonts w:ascii="Cambria" w:hAnsi="Cambria"/>
                <w:sz w:val="22"/>
                <w:szCs w:val="22"/>
              </w:rPr>
            </w:pPr>
            <w:r>
              <w:rPr>
                <w:rFonts w:ascii="Cambria" w:hAnsi="Cambria"/>
                <w:sz w:val="22"/>
                <w:szCs w:val="22"/>
              </w:rPr>
              <w:t>Rapporto di Riesame Ciclico 2017</w:t>
            </w:r>
          </w:p>
          <w:p>
            <w:pPr>
              <w:pStyle w:val="Default"/>
              <w:numPr>
                <w:ilvl w:val="0"/>
                <w:numId w:val="2"/>
              </w:numPr>
              <w:rPr>
                <w:rFonts w:ascii="Cambria" w:hAnsi="Cambria"/>
                <w:sz w:val="22"/>
                <w:szCs w:val="22"/>
              </w:rPr>
            </w:pPr>
            <w:r>
              <w:rPr>
                <w:rFonts w:ascii="Cambria" w:hAnsi="Cambria"/>
                <w:sz w:val="22"/>
                <w:szCs w:val="22"/>
              </w:rPr>
              <w:t>(</w:t>
            </w:r>
            <w:r>
              <w:rPr>
                <w:rFonts w:ascii="Cambria" w:hAnsi="Cambria"/>
                <w:i/>
                <w:sz w:val="22"/>
                <w:szCs w:val="22"/>
              </w:rPr>
              <w:t>Indicare eventuali altri documenti</w:t>
            </w:r>
            <w:r>
              <w:rPr>
                <w:rFonts w:ascii="Cambria" w:hAnsi="Cambria"/>
                <w:sz w:val="22"/>
                <w:szCs w:val="22"/>
              </w:rPr>
              <w:t>) …</w:t>
            </w:r>
          </w:p>
          <w:p>
            <w:pPr>
              <w:pStyle w:val="Normal"/>
              <w:spacing w:lineRule="auto" w:line="240"/>
              <w:jc w:val="both"/>
              <w:rPr/>
            </w:pPr>
            <w:r>
              <w:rPr/>
            </w:r>
          </w:p>
          <w:p>
            <w:pPr>
              <w:pStyle w:val="Normal"/>
              <w:spacing w:lineRule="auto" w:line="240"/>
              <w:jc w:val="both"/>
              <w:rPr/>
            </w:pPr>
            <w:r>
              <w:rPr/>
              <w:t>Altre informazioni utili sono state ricavate consultando i seguenti siti web:</w:t>
            </w:r>
          </w:p>
          <w:p>
            <w:pPr>
              <w:pStyle w:val="Default"/>
              <w:jc w:val="both"/>
              <w:rPr>
                <w:rStyle w:val="InternetLink"/>
                <w:rFonts w:cs="Arial" w:ascii="Cambria" w:hAnsi="Cambria"/>
                <w:sz w:val="22"/>
                <w:szCs w:val="22"/>
              </w:rPr>
            </w:pPr>
            <w:r>
              <w:rPr>
                <w:rFonts w:ascii="Cambria" w:hAnsi="Cambria"/>
                <w:color w:val="FF0000"/>
                <w:sz w:val="22"/>
                <w:szCs w:val="22"/>
              </w:rPr>
              <w:tab/>
            </w:r>
            <w:hyperlink r:id="rId3">
              <w:r>
                <w:rPr>
                  <w:rStyle w:val="InternetLink"/>
                  <w:rFonts w:cs="Arial" w:ascii="Cambria" w:hAnsi="Cambria"/>
                  <w:sz w:val="22"/>
                  <w:szCs w:val="22"/>
                </w:rPr>
                <w:t>http://www.uniba.it/ateneo/presidio-qualita/ava/</w:t>
              </w:r>
            </w:hyperlink>
          </w:p>
          <w:p>
            <w:pPr>
              <w:pStyle w:val="Default"/>
              <w:jc w:val="both"/>
              <w:rPr>
                <w:rFonts w:ascii="Cambria" w:hAnsi="Cambria"/>
                <w:color w:val="00000A"/>
                <w:sz w:val="22"/>
                <w:szCs w:val="22"/>
              </w:rPr>
            </w:pPr>
            <w:r>
              <w:rPr>
                <w:rFonts w:ascii="Cambria" w:hAnsi="Cambria"/>
                <w:color w:val="00000A"/>
                <w:sz w:val="22"/>
                <w:szCs w:val="22"/>
              </w:rPr>
              <w:t>anche per accesso e consultazione della SUA-CdS</w:t>
            </w:r>
          </w:p>
          <w:p>
            <w:pPr>
              <w:pStyle w:val="Default"/>
              <w:jc w:val="both"/>
              <w:rPr>
                <w:rStyle w:val="InternetLink"/>
                <w:rFonts w:cs="Calibri" w:ascii="Cambria" w:hAnsi="Cambria"/>
                <w:sz w:val="22"/>
                <w:szCs w:val="22"/>
              </w:rPr>
            </w:pPr>
            <w:r>
              <w:rPr>
                <w:rFonts w:cs="Calibri" w:ascii="Cambria" w:hAnsi="Cambria"/>
                <w:sz w:val="22"/>
                <w:szCs w:val="22"/>
              </w:rPr>
              <w:t xml:space="preserve">              </w:t>
            </w:r>
            <w:hyperlink r:id="rId4">
              <w:r>
                <w:rPr>
                  <w:rStyle w:val="InternetLink"/>
                  <w:rFonts w:cs="Calibri" w:ascii="Cambria" w:hAnsi="Cambria"/>
                  <w:sz w:val="22"/>
                  <w:szCs w:val="22"/>
                </w:rPr>
                <w:t>http://www.universitaly.it/index.php/cercacorsi/universita</w:t>
              </w:r>
            </w:hyperlink>
          </w:p>
          <w:p>
            <w:pPr>
              <w:pStyle w:val="Default"/>
              <w:jc w:val="both"/>
              <w:rPr>
                <w:rFonts w:cs="Calibri" w:ascii="Cambria" w:hAnsi="Cambria"/>
                <w:sz w:val="22"/>
                <w:szCs w:val="22"/>
              </w:rPr>
            </w:pPr>
            <w:r>
              <w:rPr>
                <w:rFonts w:cs="Calibri" w:ascii="Cambria" w:hAnsi="Cambria"/>
                <w:sz w:val="22"/>
                <w:szCs w:val="22"/>
              </w:rPr>
              <w:t>per la consultazione delle parti pubbliche della SUA-CdS</w:t>
            </w:r>
          </w:p>
          <w:p>
            <w:pPr>
              <w:pStyle w:val="Default"/>
              <w:jc w:val="both"/>
              <w:rPr>
                <w:rStyle w:val="InternetLink"/>
                <w:rFonts w:cs="Calibri" w:ascii="Cambria" w:hAnsi="Cambria"/>
                <w:sz w:val="22"/>
                <w:szCs w:val="22"/>
              </w:rPr>
            </w:pPr>
            <w:r>
              <w:rPr>
                <w:rFonts w:cs="Calibri" w:ascii="Cambria" w:hAnsi="Cambria"/>
                <w:sz w:val="22"/>
                <w:szCs w:val="22"/>
              </w:rPr>
              <w:tab/>
            </w:r>
            <w:hyperlink r:id="rId5">
              <w:r>
                <w:rPr>
                  <w:rStyle w:val="InternetLink"/>
                  <w:rFonts w:cs="Calibri" w:ascii="Cambria" w:hAnsi="Cambria"/>
                  <w:sz w:val="22"/>
                  <w:szCs w:val="22"/>
                </w:rPr>
                <w:t>http://reportanvur.ict.uniba.it:443/birt/run?__report=Anvur_Qd.rptdesign</w:t>
              </w:r>
            </w:hyperlink>
          </w:p>
          <w:p>
            <w:pPr>
              <w:pStyle w:val="Default"/>
              <w:jc w:val="both"/>
              <w:rPr>
                <w:rFonts w:ascii="Cambria" w:hAnsi="Cambria"/>
                <w:sz w:val="22"/>
                <w:szCs w:val="22"/>
              </w:rPr>
            </w:pPr>
            <w:r>
              <w:rPr>
                <w:rFonts w:ascii="Cambria" w:hAnsi="Cambria"/>
                <w:sz w:val="22"/>
                <w:szCs w:val="22"/>
              </w:rPr>
              <w:t>per le schede opinione degli studenti.</w:t>
            </w:r>
          </w:p>
          <w:p>
            <w:pPr>
              <w:pStyle w:val="Default"/>
              <w:jc w:val="both"/>
              <w:rPr>
                <w:rFonts w:ascii="Cambria" w:hAnsi="Cambria"/>
                <w:color w:val="0000FF"/>
                <w:sz w:val="22"/>
                <w:szCs w:val="22"/>
              </w:rPr>
            </w:pPr>
            <w:r>
              <w:rPr>
                <w:rFonts w:ascii="Cambria" w:hAnsi="Cambria"/>
                <w:color w:val="FF0000"/>
                <w:sz w:val="22"/>
                <w:szCs w:val="22"/>
              </w:rPr>
              <w:tab/>
            </w:r>
            <w:hyperlink r:id="rId6">
              <w:r>
                <w:rPr>
                  <w:rStyle w:val="InternetLink"/>
                  <w:rFonts w:cs="Arial" w:ascii="Cambria" w:hAnsi="Cambria"/>
                  <w:sz w:val="22"/>
                  <w:szCs w:val="22"/>
                </w:rPr>
                <w:t>http://www.uniba.it/ateneo/presidio-qualita</w:t>
              </w:r>
            </w:hyperlink>
            <w:r>
              <w:rPr>
                <w:rFonts w:ascii="Cambria" w:hAnsi="Cambria"/>
                <w:color w:val="0000FF"/>
                <w:sz w:val="22"/>
                <w:szCs w:val="22"/>
              </w:rPr>
              <w:t xml:space="preserve"> </w:t>
            </w:r>
          </w:p>
          <w:p>
            <w:pPr>
              <w:pStyle w:val="Default"/>
              <w:jc w:val="both"/>
              <w:rPr>
                <w:rFonts w:ascii="Cambria" w:hAnsi="Cambria"/>
                <w:color w:val="00000A"/>
                <w:sz w:val="22"/>
                <w:szCs w:val="22"/>
              </w:rPr>
            </w:pPr>
            <w:r>
              <w:rPr>
                <w:rFonts w:ascii="Cambria" w:hAnsi="Cambria"/>
                <w:color w:val="00000A"/>
                <w:sz w:val="22"/>
                <w:szCs w:val="22"/>
              </w:rPr>
              <w:t>per la documentazione e le statistiche relative ai singoli CdS.</w:t>
            </w:r>
          </w:p>
          <w:p>
            <w:pPr>
              <w:pStyle w:val="Default"/>
              <w:jc w:val="both"/>
              <w:rPr>
                <w:rStyle w:val="InternetLink"/>
                <w:rFonts w:cs="Arial" w:ascii="Cambria" w:hAnsi="Cambria"/>
                <w:sz w:val="22"/>
                <w:szCs w:val="22"/>
              </w:rPr>
            </w:pPr>
            <w:r>
              <w:rPr>
                <w:rFonts w:ascii="Cambria" w:hAnsi="Cambria"/>
                <w:sz w:val="22"/>
                <w:szCs w:val="22"/>
              </w:rPr>
              <w:tab/>
            </w:r>
            <w:hyperlink r:id="rId7">
              <w:r>
                <w:rPr>
                  <w:rStyle w:val="InternetLink"/>
                  <w:rFonts w:cs="Arial" w:ascii="Cambria" w:hAnsi="Cambria"/>
                  <w:sz w:val="22"/>
                  <w:szCs w:val="22"/>
                </w:rPr>
                <w:t>http://www.almalaurea.it/universita/profilo</w:t>
              </w:r>
            </w:hyperlink>
          </w:p>
          <w:p>
            <w:pPr>
              <w:pStyle w:val="Default"/>
              <w:jc w:val="both"/>
              <w:rPr>
                <w:rFonts w:ascii="Cambria" w:hAnsi="Cambria"/>
                <w:sz w:val="22"/>
                <w:szCs w:val="22"/>
              </w:rPr>
            </w:pPr>
            <w:r>
              <w:rPr>
                <w:rFonts w:ascii="Cambria" w:hAnsi="Cambria"/>
                <w:sz w:val="22"/>
                <w:szCs w:val="22"/>
              </w:rPr>
              <w:t>per le statistiche dei laureati.</w:t>
            </w:r>
          </w:p>
          <w:p>
            <w:pPr>
              <w:pStyle w:val="Default"/>
              <w:jc w:val="both"/>
              <w:rPr>
                <w:rFonts w:ascii="Cambria" w:hAnsi="Cambria"/>
                <w:sz w:val="22"/>
                <w:szCs w:val="22"/>
              </w:rPr>
            </w:pPr>
            <w:r>
              <w:rPr>
                <w:rFonts w:ascii="Cambria" w:hAnsi="Cambria"/>
                <w:sz w:val="22"/>
                <w:szCs w:val="22"/>
              </w:rPr>
              <w:tab/>
            </w:r>
            <w:hyperlink r:id="rId8">
              <w:r>
                <w:rPr>
                  <w:rStyle w:val="InternetLink"/>
                  <w:rFonts w:cs="Arial" w:ascii="Cambria" w:hAnsi="Cambria"/>
                  <w:sz w:val="22"/>
                  <w:szCs w:val="22"/>
                </w:rPr>
                <w:t>http://www.uniba.it/ricerca/dipartimenti/</w:t>
              </w:r>
            </w:hyperlink>
            <w:r>
              <w:rPr>
                <w:rFonts w:ascii="Cambria" w:hAnsi="Cambria"/>
                <w:sz w:val="22"/>
                <w:szCs w:val="22"/>
              </w:rPr>
              <w:t>................ (</w:t>
            </w:r>
            <w:r>
              <w:rPr>
                <w:rFonts w:ascii="Cambria" w:hAnsi="Cambria"/>
                <w:i/>
                <w:sz w:val="22"/>
                <w:szCs w:val="22"/>
              </w:rPr>
              <w:t>pagina web del dipartimento</w:t>
            </w:r>
            <w:r>
              <w:rPr>
                <w:rFonts w:ascii="Cambria" w:hAnsi="Cambria"/>
                <w:sz w:val="22"/>
                <w:szCs w:val="22"/>
              </w:rPr>
              <w:t>)</w:t>
            </w:r>
          </w:p>
          <w:p>
            <w:pPr>
              <w:pStyle w:val="Default"/>
              <w:jc w:val="both"/>
              <w:rPr>
                <w:rFonts w:ascii="Cambria" w:hAnsi="Cambria"/>
                <w:sz w:val="22"/>
                <w:szCs w:val="22"/>
              </w:rPr>
            </w:pPr>
            <w:r>
              <w:rPr>
                <w:rFonts w:ascii="Cambria" w:hAnsi="Cambria"/>
                <w:sz w:val="22"/>
                <w:szCs w:val="22"/>
              </w:rPr>
              <w:t>per l’organizzazione</w:t>
            </w:r>
            <w:r>
              <w:rPr>
                <w:rFonts w:ascii="Cambria" w:hAnsi="Cambria"/>
                <w:b/>
                <w:sz w:val="22"/>
                <w:szCs w:val="22"/>
              </w:rPr>
              <w:t xml:space="preserve"> </w:t>
            </w:r>
            <w:r>
              <w:rPr>
                <w:rFonts w:ascii="Cambria" w:hAnsi="Cambria"/>
                <w:sz w:val="22"/>
                <w:szCs w:val="22"/>
              </w:rPr>
              <w:t>didattica dei singoli CdS e per l’accesso ai programmi di studio.</w:t>
            </w:r>
          </w:p>
          <w:p>
            <w:pPr>
              <w:pStyle w:val="Default"/>
              <w:jc w:val="both"/>
              <w:rPr>
                <w:rFonts w:ascii="Cambria" w:hAnsi="Cambria"/>
                <w:color w:val="0000FF"/>
                <w:sz w:val="22"/>
                <w:szCs w:val="22"/>
              </w:rPr>
            </w:pPr>
            <w:r>
              <w:rPr>
                <w:rFonts w:ascii="Cambria" w:hAnsi="Cambria"/>
                <w:color w:val="FF0000"/>
                <w:sz w:val="22"/>
                <w:szCs w:val="22"/>
              </w:rPr>
              <w:tab/>
            </w:r>
            <w:hyperlink r:id="rId9">
              <w:r>
                <w:rPr>
                  <w:rStyle w:val="InternetLink"/>
                  <w:rFonts w:cs="Arial" w:ascii="Cambria" w:hAnsi="Cambria"/>
                  <w:sz w:val="22"/>
                  <w:szCs w:val="22"/>
                </w:rPr>
                <w:t>http://www.uniba.it/ateneo/presidio-qualita</w:t>
              </w:r>
            </w:hyperlink>
            <w:r>
              <w:rPr>
                <w:rFonts w:ascii="Cambria" w:hAnsi="Cambria"/>
                <w:color w:val="0000FF"/>
                <w:sz w:val="22"/>
                <w:szCs w:val="22"/>
              </w:rPr>
              <w:t xml:space="preserve"> </w:t>
            </w:r>
          </w:p>
          <w:p>
            <w:pPr>
              <w:pStyle w:val="Default"/>
              <w:jc w:val="both"/>
              <w:rPr>
                <w:rFonts w:ascii="Cambria" w:hAnsi="Cambria"/>
                <w:color w:val="00000A"/>
                <w:sz w:val="22"/>
                <w:szCs w:val="22"/>
              </w:rPr>
            </w:pPr>
            <w:r>
              <w:rPr>
                <w:rFonts w:ascii="Cambria" w:hAnsi="Cambria"/>
                <w:color w:val="00000A"/>
                <w:sz w:val="22"/>
                <w:szCs w:val="22"/>
              </w:rPr>
              <w:t>per eventuale ulteriore documentazione ritenuta utile</w:t>
            </w:r>
          </w:p>
          <w:p>
            <w:pPr>
              <w:pStyle w:val="Normal"/>
              <w:jc w:val="both"/>
              <w:rPr/>
            </w:pPr>
            <w:r>
              <w:rPr/>
            </w:r>
          </w:p>
          <w:p>
            <w:pPr>
              <w:pStyle w:val="Normal"/>
              <w:jc w:val="both"/>
              <w:rPr/>
            </w:pPr>
            <w:r>
              <w:rPr/>
              <w:t>La documentazione è stata analizzata e discussa in diversi incontri:</w:t>
            </w:r>
          </w:p>
          <w:p>
            <w:pPr>
              <w:pStyle w:val="Normal"/>
              <w:spacing w:lineRule="auto" w:line="240" w:before="0" w:after="0"/>
              <w:jc w:val="both"/>
              <w:rPr>
                <w:b/>
              </w:rPr>
            </w:pPr>
            <w:r>
              <w:rPr>
                <w:b/>
              </w:rPr>
              <w:t xml:space="preserve">Calendario delle riunioni </w:t>
            </w:r>
          </w:p>
          <w:p>
            <w:pPr>
              <w:pStyle w:val="Normal"/>
              <w:spacing w:lineRule="auto" w:line="240" w:before="0" w:after="0"/>
              <w:jc w:val="both"/>
              <w:rPr>
                <w:i/>
              </w:rPr>
            </w:pPr>
            <w:r>
              <w:rPr>
                <w:i/>
              </w:rPr>
              <w:t>Elencare le date delle riunioni svolte durante l’anno, gli argomenti affrontati ed i documenti consultati,</w:t>
            </w:r>
            <w:r>
              <w:rPr>
                <w:b/>
                <w:i/>
              </w:rPr>
              <w:t xml:space="preserve"> </w:t>
            </w:r>
            <w:r>
              <w:rPr>
                <w:i/>
              </w:rPr>
              <w:t>riferirsi ad eventuali verbali di riunioni; in particolare, citare le riunioni obbligatorie per l’emissione dei pareri previsti dall’art. 12 del D.M. 270/2004 e dall’art. 15 del Regolamento Didattico di Ateneo.</w:t>
            </w:r>
          </w:p>
          <w:p>
            <w:pPr>
              <w:pStyle w:val="Default"/>
              <w:spacing w:before="0" w:after="27"/>
              <w:ind w:left="0" w:right="425" w:hanging="0"/>
              <w:jc w:val="both"/>
              <w:rPr>
                <w:rFonts w:ascii="Cambria" w:hAnsi="Cambria"/>
                <w:i/>
                <w:sz w:val="22"/>
                <w:szCs w:val="22"/>
              </w:rPr>
            </w:pPr>
            <w:r>
              <w:rPr>
                <w:rFonts w:ascii="Cambria" w:hAnsi="Cambria"/>
                <w:i/>
                <w:sz w:val="22"/>
                <w:szCs w:val="22"/>
              </w:rPr>
            </w:r>
          </w:p>
          <w:p>
            <w:pPr>
              <w:pStyle w:val="Normal"/>
              <w:spacing w:lineRule="auto" w:line="216" w:before="0" w:after="0"/>
              <w:jc w:val="both"/>
              <w:rPr>
                <w:rFonts w:cs="Lucida Sans Unicode"/>
                <w:b/>
                <w:color w:val="000000"/>
              </w:rPr>
            </w:pPr>
            <w:r>
              <w:rPr>
                <w:rFonts w:cs="Lucida Sans Unicode"/>
                <w:b/>
                <w:color w:val="000000"/>
              </w:rPr>
              <w:t xml:space="preserve">Mese, giorno e numero verbale </w:t>
            </w:r>
          </w:p>
          <w:p>
            <w:pPr>
              <w:pStyle w:val="Normal"/>
              <w:numPr>
                <w:ilvl w:val="0"/>
                <w:numId w:val="1"/>
              </w:numPr>
              <w:spacing w:lineRule="auto" w:line="216" w:before="0" w:after="0"/>
              <w:jc w:val="both"/>
              <w:rPr>
                <w:rFonts w:cs="Lucida Sans Unicode"/>
                <w:i/>
                <w:color w:val="000000"/>
              </w:rPr>
            </w:pPr>
            <w:r>
              <w:rPr>
                <w:rFonts w:cs="Lucida Sans Unicode"/>
                <w:i/>
                <w:color w:val="000000"/>
              </w:rPr>
              <w:t>Argomenti trattati, documenti consultati</w:t>
            </w:r>
          </w:p>
          <w:p>
            <w:pPr>
              <w:pStyle w:val="Normal"/>
              <w:numPr>
                <w:ilvl w:val="0"/>
                <w:numId w:val="1"/>
              </w:numPr>
              <w:spacing w:lineRule="auto" w:line="216" w:before="0" w:after="0"/>
              <w:jc w:val="both"/>
              <w:rPr>
                <w:rFonts w:cs="Lucida Sans Unicode"/>
                <w:i/>
                <w:color w:val="000000"/>
              </w:rPr>
            </w:pPr>
            <w:r>
              <w:rPr>
                <w:rFonts w:cs="Lucida Sans Unicode"/>
                <w:i/>
                <w:color w:val="000000"/>
              </w:rPr>
              <w:t>Indicare la presenza di un archivio cartaceo</w:t>
            </w:r>
          </w:p>
          <w:p>
            <w:pPr>
              <w:pStyle w:val="Normal"/>
              <w:numPr>
                <w:ilvl w:val="0"/>
                <w:numId w:val="1"/>
              </w:numPr>
              <w:spacing w:lineRule="auto" w:line="216" w:before="0" w:after="0"/>
              <w:jc w:val="both"/>
              <w:rPr>
                <w:rFonts w:cs="Lucida Sans Unicode"/>
                <w:i/>
                <w:color w:val="000000"/>
              </w:rPr>
            </w:pPr>
            <w:r>
              <w:rPr>
                <w:rFonts w:cs="Lucida Sans Unicode"/>
                <w:i/>
                <w:color w:val="000000"/>
              </w:rPr>
              <w:t>Indicare eventuale link sul sito</w:t>
            </w:r>
          </w:p>
          <w:p>
            <w:pPr>
              <w:pStyle w:val="Normal"/>
              <w:widowControl w:val="false"/>
              <w:spacing w:lineRule="auto" w:line="240" w:before="0" w:after="0"/>
              <w:rPr>
                <w:rFonts w:cs="Lucida Sans Unicode"/>
                <w:i/>
                <w:color w:val="000000"/>
              </w:rPr>
            </w:pPr>
            <w:r>
              <w:rPr>
                <w:rFonts w:cs="Lucida Sans Unicode"/>
                <w:i/>
                <w:color w:val="000000"/>
              </w:rPr>
            </w:r>
          </w:p>
          <w:p>
            <w:pPr>
              <w:pStyle w:val="Normal"/>
              <w:widowControl w:val="false"/>
              <w:spacing w:lineRule="auto" w:line="240" w:before="0" w:after="0"/>
              <w:rPr>
                <w:b/>
                <w:i/>
                <w:color w:val="000000"/>
                <w:lang w:eastAsia="it-IT"/>
              </w:rPr>
            </w:pPr>
            <w:r>
              <w:rPr>
                <w:b/>
                <w:i/>
                <w:color w:val="000000"/>
                <w:lang w:eastAsia="it-IT"/>
              </w:rPr>
              <w:t>Nota del PQA</w:t>
            </w:r>
          </w:p>
          <w:p>
            <w:pPr>
              <w:pStyle w:val="Normal"/>
              <w:widowControl w:val="false"/>
              <w:spacing w:lineRule="auto" w:line="240" w:before="0" w:after="0"/>
              <w:rPr>
                <w:i/>
                <w:color w:val="000000"/>
                <w:lang w:eastAsia="it-IT"/>
              </w:rPr>
            </w:pPr>
            <w:r>
              <w:rPr>
                <w:i/>
                <w:color w:val="000000"/>
                <w:lang w:eastAsia="it-IT"/>
              </w:rPr>
              <w:t>Si ricorda che la CP, oltre a redigere la Relazione Annuale, ha anche il compito di:</w:t>
            </w:r>
          </w:p>
          <w:p>
            <w:pPr>
              <w:pStyle w:val="Normal"/>
              <w:widowControl w:val="false"/>
              <w:spacing w:before="0" w:after="0"/>
              <w:jc w:val="both"/>
              <w:rPr>
                <w:i/>
              </w:rPr>
            </w:pPr>
            <w:r>
              <w:rPr>
                <w:i/>
              </w:rPr>
              <w:t>monitorare l’offerta formativa in generale (</w:t>
            </w:r>
            <w:r>
              <w:rPr>
                <w:i/>
                <w:iCs/>
              </w:rPr>
              <w:t>lettera a, comma 2, art. 15 del Regolamento Didattico- RD</w:t>
            </w:r>
            <w:r>
              <w:rPr>
                <w:i/>
              </w:rPr>
              <w:t xml:space="preserve">); </w:t>
            </w:r>
            <w:r>
              <w:rPr>
                <w:rFonts w:cs="Calibri"/>
                <w:i/>
              </w:rPr>
              <w:t xml:space="preserve"> </w:t>
            </w:r>
            <w:r>
              <w:rPr>
                <w:i/>
              </w:rPr>
              <w:t>esprimere una serie di pareri (</w:t>
            </w:r>
            <w:r>
              <w:rPr>
                <w:i/>
                <w:iCs/>
              </w:rPr>
              <w:t>lettere b, c, d, e, f, comma 2 dell’art 15 RD</w:t>
            </w:r>
            <w:r>
              <w:rPr>
                <w:i/>
              </w:rPr>
              <w:t>) quali:</w:t>
            </w:r>
          </w:p>
          <w:p>
            <w:pPr>
              <w:pStyle w:val="Normal"/>
              <w:widowControl w:val="false"/>
              <w:spacing w:before="0" w:after="0"/>
              <w:jc w:val="both"/>
              <w:rPr>
                <w:i/>
                <w:iCs/>
              </w:rPr>
            </w:pPr>
            <w:r>
              <w:rPr>
                <w:i/>
                <w:iCs/>
              </w:rPr>
              <w:t>b) Parere sugli indicatori per la valutazione</w:t>
            </w:r>
          </w:p>
          <w:p>
            <w:pPr>
              <w:pStyle w:val="Normal"/>
              <w:widowControl w:val="false"/>
              <w:spacing w:before="0" w:after="0"/>
              <w:jc w:val="both"/>
              <w:rPr>
                <w:i/>
                <w:iCs/>
              </w:rPr>
            </w:pPr>
            <w:r>
              <w:rPr>
                <w:i/>
                <w:iCs/>
              </w:rPr>
              <w:t>c) Parere sull’attivazione, disattivazione, soppressione, modifica e revisione dei CdS.</w:t>
            </w:r>
          </w:p>
          <w:p>
            <w:pPr>
              <w:pStyle w:val="Normal"/>
              <w:widowControl w:val="false"/>
              <w:spacing w:before="0" w:after="0"/>
              <w:jc w:val="both"/>
              <w:rPr>
                <w:i/>
                <w:iCs/>
              </w:rPr>
            </w:pPr>
            <w:r>
              <w:rPr>
                <w:i/>
                <w:iCs/>
              </w:rPr>
              <w:t>d) Parere sull’efficacia didattica</w:t>
            </w:r>
          </w:p>
          <w:p>
            <w:pPr>
              <w:pStyle w:val="Normal"/>
              <w:widowControl w:val="false"/>
              <w:spacing w:before="0" w:after="0"/>
              <w:jc w:val="both"/>
              <w:rPr>
                <w:i/>
                <w:iCs/>
              </w:rPr>
            </w:pPr>
            <w:r>
              <w:rPr>
                <w:i/>
                <w:iCs/>
              </w:rPr>
              <w:t xml:space="preserve">e) Parere sull’efficienza didattica </w:t>
            </w:r>
          </w:p>
          <w:p>
            <w:pPr>
              <w:pStyle w:val="Normal"/>
              <w:widowControl w:val="false"/>
              <w:spacing w:before="0" w:after="0"/>
              <w:jc w:val="both"/>
              <w:rPr>
                <w:i/>
                <w:iCs/>
              </w:rPr>
            </w:pPr>
            <w:r>
              <w:rPr>
                <w:i/>
                <w:iCs/>
              </w:rPr>
              <w:t>f) Parere sul regolamento didattico dei CdS (art. 12, comma 3 del D.M. n. 270/2004)</w:t>
            </w:r>
          </w:p>
          <w:p>
            <w:pPr>
              <w:pStyle w:val="Normal"/>
              <w:widowControl w:val="false"/>
              <w:spacing w:lineRule="auto" w:line="240" w:before="0" w:after="0"/>
              <w:contextualSpacing/>
              <w:rPr>
                <w:i/>
                <w:color w:val="000000"/>
                <w:lang w:eastAsia="it-IT"/>
              </w:rPr>
            </w:pPr>
            <w:r>
              <w:rPr>
                <w:i/>
                <w:color w:val="000000"/>
                <w:lang w:eastAsia="it-IT"/>
              </w:rPr>
              <w:t>Tali attività richiedono un impegno distribuito lungo tutto l’arco dell’anno e vanno documentate mediante i verbali delle riunioni.</w:t>
            </w:r>
          </w:p>
        </w:tc>
      </w:tr>
    </w:tbl>
    <w:p>
      <w:pPr>
        <w:pStyle w:val="Normal"/>
        <w:pageBreakBefore/>
        <w:spacing w:lineRule="auto" w:line="240" w:before="0" w:after="0"/>
        <w:rPr>
          <w:rFonts w:cs="Calibri"/>
          <w:i/>
        </w:rPr>
      </w:pPr>
      <w:r>
        <w:rPr>
          <w:rFonts w:cs="Cambria"/>
          <w:color w:val="000000"/>
          <w:lang w:eastAsia="it-IT"/>
        </w:rPr>
        <w:t xml:space="preserve">QUADRO A </w:t>
      </w:r>
      <w:r>
        <w:rPr>
          <w:rFonts w:cs="Calibri"/>
          <w:i/>
          <w:color w:val="000000"/>
          <w:lang w:eastAsia="it-IT"/>
        </w:rPr>
        <w:t xml:space="preserve">- </w:t>
      </w:r>
      <w:r>
        <w:rPr>
          <w:rFonts w:cs="Calibri"/>
          <w:i/>
        </w:rPr>
        <w:t>Analisi e proposte su gestione e utilizzo dei questionari relativi alla soddisfazione degli studenti</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widowControl w:val="false"/>
              <w:spacing w:lineRule="auto" w:line="240" w:before="0" w:after="0"/>
              <w:jc w:val="both"/>
              <w:rPr>
                <w:i/>
              </w:rPr>
            </w:pPr>
            <w:r>
              <w:rPr>
                <w:i/>
              </w:rPr>
            </w:r>
          </w:p>
          <w:p>
            <w:pPr>
              <w:pStyle w:val="Normal"/>
              <w:spacing w:lineRule="atLeast" w:line="100" w:before="0" w:after="0"/>
              <w:jc w:val="both"/>
              <w:rPr>
                <w:rFonts w:eastAsia="Arial Unicode MS" w:cs="Calibri" w:ascii="Calibri" w:hAnsi="Calibri"/>
                <w:b/>
                <w:sz w:val="24"/>
                <w:szCs w:val="24"/>
                <w:lang w:eastAsia="ar-SA"/>
              </w:rPr>
            </w:pPr>
            <w:bookmarkStart w:id="0" w:name="__DdeLink__2485_1746766577"/>
            <w:r>
              <w:rPr>
                <w:rFonts w:eastAsia="Arial Unicode MS" w:cs="Calibri" w:ascii="Calibri" w:hAnsi="Calibri"/>
                <w:b/>
                <w:sz w:val="24"/>
                <w:szCs w:val="24"/>
                <w:lang w:eastAsia="ar-SA"/>
              </w:rPr>
              <w:t xml:space="preserve">LAUREA TRIENNALE E LAUREA MAGISTRALE </w:t>
            </w:r>
            <w:bookmarkEnd w:id="0"/>
            <w:r>
              <w:rPr>
                <w:rFonts w:eastAsia="Arial Unicode MS" w:cs="Calibri" w:ascii="Calibri" w:hAnsi="Calibri"/>
                <w:b/>
                <w:sz w:val="24"/>
                <w:szCs w:val="24"/>
                <w:lang w:eastAsia="ar-SA"/>
              </w:rPr>
              <w:t>IN MATEMATICA</w:t>
            </w:r>
          </w:p>
          <w:p>
            <w:pPr>
              <w:pStyle w:val="Normal"/>
              <w:spacing w:lineRule="atLeast" w:line="100" w:before="0" w:after="0"/>
              <w:jc w:val="both"/>
              <w:rPr>
                <w:rFonts w:eastAsia="Arial Unicode MS" w:cs="Calibri" w:ascii="Calibri" w:hAnsi="Calibri"/>
                <w:sz w:val="24"/>
                <w:szCs w:val="24"/>
                <w:lang w:eastAsia="ar-SA"/>
              </w:rPr>
            </w:pPr>
            <w:r>
              <w:rPr>
                <w:rFonts w:eastAsia="Arial Unicode MS" w:cs="Calibri" w:ascii="Calibri" w:hAnsi="Calibri"/>
                <w:sz w:val="24"/>
                <w:szCs w:val="24"/>
                <w:lang w:eastAsia="ar-SA"/>
              </w:rPr>
            </w:r>
          </w:p>
          <w:p>
            <w:pPr>
              <w:pStyle w:val="Normal"/>
              <w:widowControl w:val="false"/>
              <w:spacing w:lineRule="auto" w:line="240" w:before="0" w:after="0"/>
              <w:jc w:val="both"/>
              <w:rPr>
                <w:lang w:eastAsia="it-IT"/>
              </w:rPr>
            </w:pPr>
            <w:r>
              <w:rPr>
                <w:lang w:eastAsia="it-IT"/>
              </w:rPr>
              <w:t>ANALISI:</w:t>
            </w:r>
          </w:p>
          <w:p>
            <w:pPr>
              <w:pStyle w:val="Normal"/>
              <w:widowControl w:val="false"/>
              <w:spacing w:lineRule="auto" w:line="240" w:before="0" w:after="0"/>
              <w:jc w:val="both"/>
              <w:rPr/>
            </w:pPr>
            <w:r>
              <w:rPr/>
              <w:t>Così come evidenziato nella relazione dell’Anno Accademico 2016/2017, la compilazione del questionario online, tramite il sistema Esse3-Cineca, rimane obbligatoria al momento della prenotazione dell’esame. Se l’obbligatorietà garantisce la raccolta dell’opinione degli studenti, il fatto che la compilazione possa avvenire solo al momento dello svolgimento dell’esame, può rendere tardiva la raccolta e l’analisi dei dati.</w:t>
            </w:r>
          </w:p>
          <w:p>
            <w:pPr>
              <w:pStyle w:val="Normal"/>
              <w:widowControl w:val="false"/>
              <w:spacing w:lineRule="auto" w:line="240" w:before="0" w:after="0"/>
              <w:jc w:val="both"/>
              <w:rPr/>
            </w:pPr>
            <w:r>
              <w:rPr/>
            </w:r>
          </w:p>
          <w:p>
            <w:pPr>
              <w:pStyle w:val="Normal"/>
              <w:widowControl w:val="false"/>
              <w:spacing w:lineRule="auto" w:line="240" w:before="0" w:after="0"/>
              <w:jc w:val="both"/>
              <w:rPr/>
            </w:pPr>
            <w:r>
              <w:rPr/>
              <w:t>Dai dati aggiornati per il Corso di Laurea Triennale in Matematica e per il Corso di Laurea Magistrale in Matematica, relativamente all’A.A. 2017/2018,  si evince mediamente un’alta percentuale di soddisfazione da parte degli studenti, in linea con i dati dell’Anno Accademico precedente.</w:t>
            </w:r>
          </w:p>
          <w:p>
            <w:pPr>
              <w:pStyle w:val="Normal"/>
              <w:widowControl w:val="false"/>
              <w:spacing w:lineRule="auto" w:line="240" w:before="0" w:after="0"/>
              <w:jc w:val="both"/>
              <w:rPr>
                <w:sz w:val="23"/>
                <w:szCs w:val="23"/>
              </w:rPr>
            </w:pPr>
            <w:r>
              <w:rPr>
                <w:sz w:val="23"/>
                <w:szCs w:val="23"/>
              </w:rPr>
            </w:r>
          </w:p>
          <w:p>
            <w:pPr>
              <w:pStyle w:val="Normal"/>
              <w:widowControl w:val="false"/>
              <w:spacing w:lineRule="auto" w:line="240" w:before="0" w:after="0"/>
              <w:jc w:val="both"/>
              <w:rPr>
                <w:sz w:val="23"/>
                <w:szCs w:val="23"/>
              </w:rPr>
            </w:pPr>
            <w:r>
              <w:rPr>
                <w:sz w:val="23"/>
                <w:szCs w:val="23"/>
              </w:rPr>
              <w:t>Mediamente si rileva un’alta soddisfazione rispetto agli aspetti organizzativi del Corso di Laurea e dei singoli insegnamenti: orari di svolgimento di lezioni ed esercitazione, disponibilità dei materiali didattici, modalità di esame e reperibilità dei docenti. Rispetto ad alcune criticità rilevate nella relazione precedente, risulta complessivamente diminuita la percentuale di studenti che ritiene le conoscenze preliminari possedute non sufficienti per la comprensione del corso. Sembra quindi che si cominci a rilevare l’efficacia di alcune azioni intraprese dal Corso di Studi, quali il rafforzamento dell’attività didattica di Precorso previsto all’inizio del primo anno, e l’istituzione di tutorati rivolti alle matricole, e svolti da docenti del Corso di Laurea durante il primo semestre.</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lang w:eastAsia="it-IT"/>
              </w:rPr>
            </w:pPr>
            <w:r>
              <w:rPr>
                <w:lang w:eastAsia="it-IT"/>
              </w:rPr>
              <w:t>PROPOSTE:</w:t>
            </w:r>
          </w:p>
          <w:p>
            <w:pPr>
              <w:pStyle w:val="ListParagraph"/>
              <w:widowControl w:val="false"/>
              <w:numPr>
                <w:ilvl w:val="0"/>
                <w:numId w:val="3"/>
              </w:numPr>
              <w:spacing w:lineRule="auto" w:line="240" w:before="0" w:after="0"/>
              <w:jc w:val="both"/>
              <w:rPr/>
            </w:pPr>
            <w:r>
              <w:rPr/>
              <w:t>Il questionario online dovrebbe essere compilato dallo studente non troppo oltre la conclusione dei singoli insegnamenti. Ciò renderebbe più efficaci la valutazione da parte degli studenti, la raccolta e l’analisi dei dati, per poter intervenire tempestivamente su eventuali criticità.</w:t>
            </w:r>
          </w:p>
          <w:p>
            <w:pPr>
              <w:pStyle w:val="ListParagraph"/>
              <w:widowControl w:val="false"/>
              <w:numPr>
                <w:ilvl w:val="0"/>
                <w:numId w:val="3"/>
              </w:numPr>
              <w:spacing w:lineRule="auto" w:line="240" w:before="0" w:after="0"/>
              <w:jc w:val="both"/>
              <w:rPr/>
            </w:pPr>
            <w:r>
              <w:rPr/>
              <w:t>Si rinnova la proposta di rendere più adeguata la formulazione dei questionari on-line, in modo tale da renderli più consoni alle  specificità dei Corsi di Studio.</w:t>
            </w:r>
          </w:p>
          <w:p>
            <w:pPr>
              <w:pStyle w:val="NormalWeb"/>
              <w:spacing w:before="280" w:after="160"/>
              <w:rPr>
                <w:rFonts w:ascii="Cambria" w:hAnsi="Cambria"/>
                <w:sz w:val="22"/>
                <w:szCs w:val="22"/>
              </w:rPr>
            </w:pPr>
            <w:r>
              <w:rPr>
                <w:rFonts w:ascii="Cambria" w:hAnsi="Cambria"/>
                <w:sz w:val="22"/>
                <w:szCs w:val="22"/>
              </w:rPr>
              <w:t xml:space="preserve">Fonti di consultazione  </w:t>
            </w:r>
          </w:p>
          <w:p>
            <w:pPr>
              <w:pStyle w:val="NormalWeb"/>
              <w:spacing w:before="280" w:after="160"/>
              <w:rPr>
                <w:rFonts w:ascii="Cambria" w:hAnsi="Cambria"/>
                <w:sz w:val="22"/>
                <w:szCs w:val="22"/>
              </w:rPr>
            </w:pPr>
            <w:hyperlink r:id="rId10">
              <w:r>
                <w:rPr>
                  <w:rStyle w:val="InternetLink"/>
                  <w:rFonts w:ascii="Cambria" w:hAnsi="Cambria"/>
                  <w:sz w:val="22"/>
                  <w:szCs w:val="22"/>
                </w:rPr>
                <w:t>http://www.universitaly.it/index.php/cercacorsi/universita</w:t>
              </w:r>
            </w:hyperlink>
            <w:r>
              <w:rPr>
                <w:rFonts w:ascii="Cambria" w:hAnsi="Cambria"/>
                <w:sz w:val="22"/>
                <w:szCs w:val="22"/>
              </w:rPr>
              <w:t xml:space="preserve"> </w:t>
            </w:r>
          </w:p>
          <w:p>
            <w:pPr>
              <w:pStyle w:val="NormalWeb"/>
              <w:spacing w:before="280" w:after="160"/>
              <w:rPr>
                <w:rStyle w:val="InternetLink"/>
                <w:rFonts w:ascii="Cambria" w:hAnsi="Cambria"/>
                <w:sz w:val="22"/>
                <w:szCs w:val="22"/>
              </w:rPr>
            </w:pPr>
            <w:hyperlink r:id="rId11">
              <w:r>
                <w:rPr>
                  <w:rStyle w:val="InternetLink"/>
                  <w:rFonts w:ascii="Cambria" w:hAnsi="Cambria"/>
                  <w:sz w:val="22"/>
                  <w:szCs w:val="22"/>
                </w:rPr>
                <w:t>http://www.uniba.it/ateneo/presidio-qualita/ava/</w:t>
              </w:r>
            </w:hyperlink>
          </w:p>
          <w:p>
            <w:pPr>
              <w:pStyle w:val="NormalWeb"/>
              <w:spacing w:before="280" w:after="160"/>
              <w:rPr>
                <w:rFonts w:ascii="Cambria" w:hAnsi="Cambria"/>
                <w:sz w:val="22"/>
                <w:szCs w:val="22"/>
              </w:rPr>
            </w:pPr>
            <w:r>
              <w:rPr>
                <w:rFonts w:ascii="Cambria" w:hAnsi="Cambria"/>
                <w:sz w:val="22"/>
                <w:szCs w:val="22"/>
              </w:rPr>
              <w:t>anche per accesso e consultazione della SUA-CdS</w:t>
            </w:r>
          </w:p>
          <w:p>
            <w:pPr>
              <w:pStyle w:val="Default"/>
              <w:jc w:val="both"/>
              <w:rPr>
                <w:rStyle w:val="InternetLink"/>
                <w:rFonts w:cs="Calibri" w:ascii="Cambria" w:hAnsi="Cambria"/>
                <w:sz w:val="22"/>
                <w:szCs w:val="22"/>
              </w:rPr>
            </w:pPr>
            <w:hyperlink r:id="rId12">
              <w:r>
                <w:rPr>
                  <w:rStyle w:val="InternetLink"/>
                  <w:rFonts w:cs="Calibri" w:ascii="Cambria" w:hAnsi="Cambria"/>
                  <w:sz w:val="22"/>
                  <w:szCs w:val="22"/>
                </w:rPr>
                <w:t>http://reportanvur.ict.uniba.it:443/birt/run?__report=Anvur_Qd.rptdesign</w:t>
              </w:r>
            </w:hyperlink>
          </w:p>
          <w:p>
            <w:pPr>
              <w:pStyle w:val="Default"/>
              <w:jc w:val="both"/>
              <w:rPr>
                <w:rStyle w:val="InternetLink"/>
                <w:rFonts w:cs="Calibri" w:ascii="Cambria" w:hAnsi="Cambria"/>
                <w:sz w:val="22"/>
                <w:szCs w:val="22"/>
              </w:rPr>
            </w:pPr>
            <w:hyperlink r:id="rId13">
              <w:r>
                <w:rPr>
                  <w:rStyle w:val="InternetLink"/>
                  <w:rFonts w:cs="Calibri" w:ascii="Cambria" w:hAnsi="Cambria"/>
                  <w:sz w:val="22"/>
                  <w:szCs w:val="22"/>
                </w:rPr>
                <w:t>https://oc.ict.uniba.it/home/nucleovalutazione/relazioni/opinione-degli-studenti-sulle-attivita-didattiche</w:t>
              </w:r>
            </w:hyperlink>
          </w:p>
          <w:p>
            <w:pPr>
              <w:pStyle w:val="NormalWeb"/>
              <w:spacing w:before="280" w:after="160"/>
              <w:rPr>
                <w:rFonts w:ascii="Cambria" w:hAnsi="Cambria"/>
                <w:sz w:val="22"/>
                <w:szCs w:val="22"/>
              </w:rPr>
            </w:pPr>
            <w:r>
              <w:rPr>
                <w:rFonts w:ascii="Cambria" w:hAnsi="Cambria"/>
                <w:sz w:val="22"/>
                <w:szCs w:val="22"/>
              </w:rPr>
              <w:t>per le schede opinione degli studenti.</w:t>
            </w:r>
          </w:p>
          <w:p>
            <w:pPr>
              <w:pStyle w:val="NormalWeb"/>
              <w:spacing w:before="280" w:after="160"/>
              <w:rPr>
                <w:rFonts w:ascii="Cambria" w:hAnsi="Cambria"/>
                <w:sz w:val="22"/>
                <w:szCs w:val="22"/>
              </w:rPr>
            </w:pPr>
            <w:r>
              <w:rPr>
                <w:rFonts w:ascii="Cambria" w:hAnsi="Cambria"/>
                <w:sz w:val="22"/>
                <w:szCs w:val="22"/>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b/>
                <w:i/>
              </w:rPr>
            </w:pPr>
            <w:r>
              <w:rPr>
                <w:b/>
                <w:i/>
              </w:rPr>
              <w:t>Nota del PQA</w:t>
            </w:r>
          </w:p>
          <w:p>
            <w:pPr>
              <w:pStyle w:val="Normal"/>
              <w:widowControl w:val="false"/>
              <w:spacing w:lineRule="auto" w:line="240" w:before="0" w:after="0"/>
              <w:jc w:val="both"/>
              <w:rPr>
                <w:i/>
              </w:rPr>
            </w:pPr>
            <w:r>
              <w:rPr>
                <w:i/>
              </w:rPr>
              <w:t>Dettagliare, nel caso, per i singoli CdS ed eventualmente indicare i punti di forza e di debolezza.</w:t>
            </w:r>
          </w:p>
          <w:p>
            <w:pPr>
              <w:pStyle w:val="Normal"/>
              <w:widowControl w:val="false"/>
              <w:spacing w:lineRule="auto" w:line="240" w:before="0" w:after="0"/>
              <w:jc w:val="both"/>
              <w:rPr>
                <w:i/>
              </w:rPr>
            </w:pPr>
            <w:r>
              <w:rPr>
                <w:i/>
              </w:rPr>
              <w:t>Consultare le informazioni inserite nella SUA-CdS - Quadro B6 ed eventuali schede di valutazione interne predisposte dai gruppi di AQ dei CdS.</w:t>
            </w:r>
          </w:p>
        </w:tc>
      </w:tr>
    </w:tbl>
    <w:p>
      <w:pPr>
        <w:pStyle w:val="Default"/>
        <w:jc w:val="both"/>
        <w:rPr>
          <w:rFonts w:ascii="Cambria" w:hAnsi="Cambria"/>
          <w:sz w:val="22"/>
          <w:szCs w:val="22"/>
        </w:rPr>
      </w:pPr>
      <w:r>
        <w:rPr>
          <w:rFonts w:ascii="Cambria" w:hAnsi="Cambria"/>
          <w:sz w:val="22"/>
          <w:szCs w:val="22"/>
        </w:rPr>
      </w:r>
    </w:p>
    <w:p>
      <w:pPr>
        <w:pStyle w:val="Normal"/>
        <w:widowControl w:val="false"/>
        <w:spacing w:lineRule="auto" w:line="240" w:before="0" w:after="0"/>
        <w:jc w:val="both"/>
        <w:rPr>
          <w:rFonts w:cs="Calibri"/>
          <w:i/>
        </w:rPr>
      </w:pPr>
      <w:r>
        <w:rPr>
          <w:rFonts w:cs="Cambria"/>
          <w:color w:val="000000"/>
          <w:lang w:eastAsia="it-IT"/>
        </w:rPr>
        <w:t xml:space="preserve">QUADRO B </w:t>
      </w:r>
      <w:r>
        <w:rPr>
          <w:rFonts w:cs="Calibri"/>
          <w:i/>
          <w:color w:val="000000"/>
          <w:lang w:eastAsia="it-IT"/>
        </w:rPr>
        <w:t xml:space="preserve">- </w:t>
      </w:r>
      <w:r>
        <w:rPr>
          <w:rFonts w:cs="Calibri"/>
          <w:i/>
        </w:rPr>
        <w:t>Analisi e proposte in merito a materiali e ausili didattici, laboratori, aule, attrezzature, in relazione al raggiungimento degli obiettivi di apprendimento al livello desiderato</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widowControl w:val="false"/>
              <w:spacing w:lineRule="auto" w:line="240" w:before="0" w:after="0"/>
              <w:jc w:val="both"/>
              <w:rPr/>
            </w:pPr>
            <w:r>
              <w:rPr/>
            </w:r>
          </w:p>
          <w:p>
            <w:pPr>
              <w:pStyle w:val="Normal"/>
              <w:widowControl w:val="false"/>
              <w:spacing w:lineRule="atLeast" w:line="100" w:before="0" w:after="0"/>
              <w:jc w:val="both"/>
              <w:rPr>
                <w:rFonts w:eastAsia="Arial Unicode MS" w:cs="Calibri" w:ascii="Calibri" w:hAnsi="Calibri"/>
                <w:b/>
                <w:sz w:val="24"/>
                <w:szCs w:val="24"/>
                <w:lang w:eastAsia="ar-SA"/>
              </w:rPr>
            </w:pPr>
            <w:bookmarkStart w:id="1" w:name="__DdeLink__719_983354561"/>
            <w:bookmarkEnd w:id="1"/>
            <w:r>
              <w:rPr>
                <w:rFonts w:eastAsia="Arial Unicode MS" w:cs="Calibri" w:ascii="Calibri" w:hAnsi="Calibri"/>
                <w:b/>
                <w:sz w:val="24"/>
                <w:szCs w:val="24"/>
                <w:lang w:eastAsia="ar-SA"/>
              </w:rPr>
              <w:t>LAUREA TRIENNALE E LAUREA MAGISTRALE IN MATEMATICA</w:t>
            </w:r>
          </w:p>
          <w:p>
            <w:pPr>
              <w:pStyle w:val="Normal"/>
              <w:widowControl w:val="false"/>
              <w:spacing w:lineRule="atLeast" w:line="100" w:before="0" w:after="0"/>
              <w:jc w:val="both"/>
              <w:rPr/>
            </w:pPr>
            <w:r>
              <w:rPr/>
            </w:r>
          </w:p>
          <w:p>
            <w:pPr>
              <w:pStyle w:val="Normal"/>
              <w:widowControl w:val="false"/>
              <w:spacing w:lineRule="auto" w:line="240" w:before="0" w:after="0"/>
              <w:jc w:val="both"/>
              <w:rPr>
                <w:lang w:eastAsia="it-IT"/>
              </w:rPr>
            </w:pPr>
            <w:r>
              <w:rPr>
                <w:lang w:eastAsia="it-IT"/>
              </w:rPr>
              <w:t>ANALISI:</w:t>
            </w:r>
          </w:p>
          <w:p>
            <w:pPr>
              <w:pStyle w:val="Normal"/>
              <w:widowControl w:val="false"/>
              <w:spacing w:lineRule="auto" w:line="240" w:before="0" w:after="0"/>
              <w:jc w:val="both"/>
              <w:rPr/>
            </w:pPr>
            <w:r>
              <w:rPr/>
              <w:t>Le attività formative proposte dal Corso di Laurea in Matematica, comprensive di lezioni, esercitazioni, tutorati, attività di orientamento, attività seminariali e laboratoriali, comportano l’utilizzo di aule, attrezzature e laboratori che appaiono adeguati, seppur non completamente idonei al raggiungimento degli obiettivi prefissati. A percorso formativo compiuto il potenziale grado di raggiungimento dei risultati di apprendimento (con riferimento al SUA quadro A4.c) è decisamente buono, questo grazie alla corrispondenza tra gli obiettivi dei singoli insegnamenti e le attività formative erogate.</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pPr>
            <w:r>
              <w:rPr/>
              <w:t xml:space="preserve">Gli studenti hanno a disposizione una fornita biblioteca (dove è possibile consultare e prendere in prestito libri di testo), laboratori informatici e aule-studio. Gli studenti rilevano che, nonostante gli sforzi messi in atto dal Dipartimento, come evidenziato nella precedente relazione, il servizio di aule-studio non è ancora del tutto soddisfacente, dato il numero di studenti che avrebbero bisogno di usufruirne e la limitatezza degli spazi, oltre all'assenza di sufficienti mezzi per l'utilizzo di supporti informatici.  </w:t>
            </w:r>
          </w:p>
          <w:p>
            <w:pPr>
              <w:pStyle w:val="Normal"/>
              <w:widowControl w:val="false"/>
              <w:spacing w:lineRule="auto" w:line="240" w:before="0" w:after="0"/>
              <w:jc w:val="both"/>
              <w:rPr/>
            </w:pPr>
            <w:r>
              <w:rPr/>
            </w:r>
          </w:p>
          <w:p>
            <w:pPr>
              <w:pStyle w:val="Normal"/>
              <w:widowControl w:val="false"/>
              <w:spacing w:lineRule="auto" w:line="240" w:before="0" w:after="0"/>
              <w:jc w:val="both"/>
              <w:rPr/>
            </w:pPr>
            <w:r>
              <w:rPr/>
              <w:t>Si rileva con soddisfazione la riapertura e messa a disposizione dell’Aula 8, resa inagibile a causa di infiltrazioni di acqua, e sottoposta a lavori nei mesi scorsi.</w:t>
            </w:r>
          </w:p>
          <w:p>
            <w:pPr>
              <w:pStyle w:val="Normal"/>
              <w:widowControl w:val="false"/>
              <w:spacing w:lineRule="auto" w:line="240" w:before="0" w:after="0"/>
              <w:jc w:val="both"/>
              <w:rPr/>
            </w:pPr>
            <w:r>
              <w:rPr/>
            </w:r>
          </w:p>
          <w:p>
            <w:pPr>
              <w:pStyle w:val="Normal"/>
              <w:widowControl w:val="false"/>
              <w:spacing w:lineRule="auto" w:line="240" w:before="0" w:after="0"/>
              <w:jc w:val="both"/>
              <w:rPr/>
            </w:pPr>
            <w:r>
              <w:rPr/>
              <w:t>Si rileva nell’Anno Accademico 2017/2018 l’istituzione del Museo della Matematica,  sito al terzo piano del Dipartimento, che potrà costituire un nuovo punto di forza del Dipartimento, a beneficio anche degli studenti dei corsi di Laurea Triennale e Magistrale in Matematica.</w:t>
            </w:r>
          </w:p>
          <w:p>
            <w:pPr>
              <w:pStyle w:val="Normal"/>
              <w:widowControl w:val="false"/>
              <w:spacing w:lineRule="auto" w:line="240" w:before="0" w:after="0"/>
              <w:jc w:val="both"/>
              <w:rPr/>
            </w:pPr>
            <w:r>
              <w:rPr/>
            </w:r>
          </w:p>
          <w:p>
            <w:pPr>
              <w:pStyle w:val="Normal"/>
              <w:widowControl w:val="false"/>
              <w:spacing w:lineRule="auto" w:line="240" w:before="0" w:after="0"/>
              <w:jc w:val="both"/>
              <w:rPr/>
            </w:pPr>
            <w:r>
              <w:rPr/>
              <w:t xml:space="preserve">Si rilevano inoltre netti miglioramenti nella percentuale di abbandoni tra il primo e il secondo anno della Laurea Triennale grazie alle iniziative prese da questa commissione e dai consigli di Dipartimento e di CdL. </w:t>
            </w:r>
          </w:p>
          <w:p>
            <w:pPr>
              <w:pStyle w:val="Normal"/>
              <w:widowControl w:val="false"/>
              <w:spacing w:lineRule="auto" w:line="240" w:before="0" w:after="0"/>
              <w:jc w:val="both"/>
              <w:rPr/>
            </w:pPr>
            <w:r>
              <w:rPr/>
            </w:r>
          </w:p>
          <w:p>
            <w:pPr>
              <w:pStyle w:val="Normal"/>
              <w:widowControl w:val="false"/>
              <w:spacing w:lineRule="auto" w:line="240" w:before="0" w:after="0"/>
              <w:jc w:val="both"/>
              <w:rPr>
                <w:lang w:eastAsia="it-IT"/>
              </w:rPr>
            </w:pPr>
            <w:r>
              <w:rPr>
                <w:lang w:eastAsia="it-IT"/>
              </w:rPr>
              <w:t>PROPOSTE:</w:t>
            </w:r>
          </w:p>
          <w:p>
            <w:pPr>
              <w:pStyle w:val="Normal"/>
              <w:widowControl w:val="false"/>
              <w:spacing w:lineRule="auto" w:line="240" w:before="0" w:after="0"/>
              <w:jc w:val="both"/>
              <w:rPr>
                <w:lang w:eastAsia="it-IT"/>
              </w:rPr>
            </w:pPr>
            <w:r>
              <w:rPr>
                <w:lang w:eastAsia="it-IT"/>
              </w:rPr>
            </w:r>
          </w:p>
          <w:p>
            <w:pPr>
              <w:pStyle w:val="ListParagraph"/>
              <w:widowControl w:val="false"/>
              <w:numPr>
                <w:ilvl w:val="0"/>
                <w:numId w:val="4"/>
              </w:numPr>
              <w:spacing w:lineRule="auto" w:line="240" w:before="0" w:after="0"/>
              <w:jc w:val="both"/>
              <w:rPr/>
            </w:pPr>
            <w:r>
              <w:rPr/>
              <w:t>Agevolare ulteriormente l’utilizzo, da parte degli studenti, della biblioteca e delle aule-studio.</w:t>
            </w:r>
          </w:p>
          <w:p>
            <w:pPr>
              <w:pStyle w:val="ListParagraph"/>
              <w:widowControl w:val="false"/>
              <w:numPr>
                <w:ilvl w:val="0"/>
                <w:numId w:val="4"/>
              </w:numPr>
              <w:spacing w:lineRule="auto" w:line="240" w:before="0" w:after="0"/>
              <w:jc w:val="both"/>
              <w:rPr/>
            </w:pPr>
            <w:r>
              <w:rPr/>
              <w:t xml:space="preserve">Proseguire col potenziamento del laboratorio informatico. </w:t>
            </w:r>
          </w:p>
          <w:p>
            <w:pPr>
              <w:pStyle w:val="ListParagraph"/>
              <w:widowControl w:val="false"/>
              <w:numPr>
                <w:ilvl w:val="0"/>
                <w:numId w:val="4"/>
              </w:numPr>
              <w:spacing w:lineRule="auto" w:line="240" w:before="0" w:after="0"/>
              <w:jc w:val="both"/>
              <w:rPr/>
            </w:pPr>
            <w:r>
              <w:rPr/>
              <w:t>Mantenere attive  le forme di incentivo come Borse di studio. In particolare sarebbe auspicabile che il Corso di Laurea si attivasse per finanziare visite di studio degli studenti per brevi periodi presso università italiane o estere, visite che potranno essere finalizzate alla frequenza di workshop, seminari, tirocini, o alla preparazione della tesi di laurea.</w:t>
            </w:r>
          </w:p>
          <w:p>
            <w:pPr>
              <w:pStyle w:val="ListParagraph"/>
              <w:widowControl w:val="false"/>
              <w:numPr>
                <w:ilvl w:val="0"/>
                <w:numId w:val="4"/>
              </w:numPr>
              <w:spacing w:lineRule="auto" w:line="240" w:before="0" w:after="0"/>
              <w:jc w:val="both"/>
              <w:rPr/>
            </w:pPr>
            <w:r>
              <w:rPr/>
              <w:t xml:space="preserve">Proseguire nell’incentivazione di iniziative, quali tirocini e periodi di formazione aziendale, per agevolare l’ingresso nel mondo lavorativo (come quelle già presenti negli anni precedenti, cioè MATHOUT e MATHonJOB) </w:t>
            </w:r>
          </w:p>
          <w:p>
            <w:pPr>
              <w:pStyle w:val="ListParagraph"/>
              <w:widowControl w:val="false"/>
              <w:numPr>
                <w:ilvl w:val="0"/>
                <w:numId w:val="4"/>
              </w:numPr>
              <w:spacing w:lineRule="auto" w:line="240" w:before="0" w:after="0"/>
              <w:jc w:val="both"/>
              <w:rPr/>
            </w:pPr>
            <w:r>
              <w:rPr/>
              <w:t>Mettere in maggior risalto l’offerta formativa proposta (con attività di orientamento) dal singolo insegnamento e in generale dal CdS, così che lo studente possa rendersi conto più esplicitamente delle competenze che può aspirare ad avere.</w:t>
            </w:r>
          </w:p>
          <w:p>
            <w:pPr>
              <w:pStyle w:val="Normal"/>
              <w:widowControl w:val="false"/>
              <w:spacing w:lineRule="auto" w:line="240" w:before="0" w:after="0"/>
              <w:jc w:val="both"/>
              <w:rPr/>
            </w:pPr>
            <w:r>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Web"/>
              <w:spacing w:before="280" w:after="160"/>
              <w:rPr>
                <w:rFonts w:ascii="Cambria" w:hAnsi="Cambria"/>
                <w:sz w:val="22"/>
                <w:szCs w:val="22"/>
              </w:rPr>
            </w:pPr>
            <w:r>
              <w:rPr>
                <w:rFonts w:ascii="Cambria" w:hAnsi="Cambria"/>
                <w:sz w:val="22"/>
                <w:szCs w:val="22"/>
              </w:rPr>
              <w:t xml:space="preserve">Fonti di consultazione  </w:t>
            </w:r>
          </w:p>
          <w:p>
            <w:pPr>
              <w:pStyle w:val="NormalWeb"/>
              <w:spacing w:before="280" w:after="160"/>
              <w:rPr>
                <w:rFonts w:ascii="Cambria" w:hAnsi="Cambria"/>
                <w:sz w:val="22"/>
                <w:szCs w:val="22"/>
              </w:rPr>
            </w:pPr>
            <w:hyperlink r:id="rId14">
              <w:r>
                <w:rPr>
                  <w:rStyle w:val="InternetLink"/>
                  <w:rFonts w:ascii="Cambria" w:hAnsi="Cambria"/>
                  <w:sz w:val="22"/>
                  <w:szCs w:val="22"/>
                </w:rPr>
                <w:t>http://www.universitaly.it/index.php/cercacorsi/universita</w:t>
              </w:r>
            </w:hyperlink>
            <w:r>
              <w:rPr>
                <w:rFonts w:ascii="Cambria" w:hAnsi="Cambria"/>
                <w:sz w:val="22"/>
                <w:szCs w:val="22"/>
              </w:rPr>
              <w:t xml:space="preserve"> </w:t>
            </w:r>
          </w:p>
          <w:p>
            <w:pPr>
              <w:pStyle w:val="NormalWeb"/>
              <w:spacing w:before="280" w:after="160"/>
              <w:rPr>
                <w:rFonts w:ascii="Cambria" w:hAnsi="Cambria"/>
                <w:color w:val="0000FF"/>
                <w:sz w:val="22"/>
                <w:szCs w:val="22"/>
              </w:rPr>
            </w:pPr>
            <w:hyperlink r:id="rId15">
              <w:r>
                <w:rPr>
                  <w:rStyle w:val="InternetLink"/>
                  <w:rFonts w:ascii="Cambria" w:hAnsi="Cambria"/>
                  <w:sz w:val="22"/>
                  <w:szCs w:val="22"/>
                </w:rPr>
                <w:t>http://www.uniba.it/ateneo/presidio-qualita/ava/</w:t>
              </w:r>
            </w:hyperlink>
            <w:r>
              <w:rPr>
                <w:rFonts w:ascii="Cambria" w:hAnsi="Cambria"/>
                <w:color w:val="0000FF"/>
                <w:sz w:val="22"/>
                <w:szCs w:val="22"/>
              </w:rPr>
              <w:t xml:space="preserve"> </w:t>
            </w:r>
          </w:p>
          <w:p>
            <w:pPr>
              <w:pStyle w:val="NormalWeb"/>
              <w:spacing w:before="280" w:after="160"/>
              <w:rPr>
                <w:rFonts w:ascii="Cambria" w:hAnsi="Cambria"/>
                <w:sz w:val="22"/>
                <w:szCs w:val="22"/>
              </w:rPr>
            </w:pPr>
            <w:r>
              <w:rPr>
                <w:rFonts w:ascii="Cambria" w:hAnsi="Cambria"/>
                <w:sz w:val="22"/>
                <w:szCs w:val="22"/>
              </w:rPr>
              <w:t>anche per accesso e consultazione della SUA-CdS.</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b/>
                <w:i/>
              </w:rPr>
            </w:pPr>
            <w:r>
              <w:rPr>
                <w:b/>
                <w:i/>
              </w:rPr>
              <w:t>Nota del PQA</w:t>
            </w:r>
          </w:p>
          <w:p>
            <w:pPr>
              <w:pStyle w:val="Normal"/>
              <w:widowControl w:val="false"/>
              <w:spacing w:lineRule="auto" w:line="240" w:before="0" w:after="0"/>
              <w:jc w:val="both"/>
              <w:rPr>
                <w:i/>
              </w:rPr>
            </w:pPr>
            <w:r>
              <w:rPr>
                <w:i/>
              </w:rPr>
              <w:t>Il Presidio consiglia di affidare, per un maggior coinvolgimento nei processi di miglioramento, la stesura della bozza di tale quadro alla componente studentesca della CP.</w:t>
            </w:r>
          </w:p>
          <w:p>
            <w:pPr>
              <w:pStyle w:val="Normal"/>
              <w:widowControl w:val="false"/>
              <w:spacing w:lineRule="auto" w:line="240" w:before="0" w:after="0"/>
              <w:jc w:val="both"/>
              <w:rPr>
                <w:i/>
              </w:rPr>
            </w:pPr>
            <w:r>
              <w:rPr>
                <w:i/>
              </w:rPr>
              <w:t>Dettagliare, nel caso, per i singoli CdS ed eventualmente indicare i punti di forza e di debolezza.</w:t>
            </w:r>
          </w:p>
          <w:p>
            <w:pPr>
              <w:pStyle w:val="Normal"/>
              <w:widowControl w:val="false"/>
              <w:spacing w:lineRule="auto" w:line="240" w:before="0" w:after="0"/>
              <w:jc w:val="both"/>
              <w:rPr>
                <w:i/>
              </w:rPr>
            </w:pPr>
            <w:r>
              <w:rPr>
                <w:i/>
              </w:rPr>
              <w:t xml:space="preserve">Consultare informazioni inserite nella SUA-CdS - Sezione B - Quadri B3 e B4; il Rapporto di Riesame e le attività di monitoraggio messe in atto dalla C.P. (verbali, pareri, note) espresse nell’anno di riferimento. </w:t>
            </w:r>
          </w:p>
          <w:p>
            <w:pPr>
              <w:pStyle w:val="Normal"/>
              <w:widowControl w:val="false"/>
              <w:spacing w:lineRule="auto" w:line="240" w:before="0" w:after="0"/>
              <w:jc w:val="both"/>
              <w:rPr>
                <w:i/>
              </w:rPr>
            </w:pPr>
            <w:r>
              <w:rPr>
                <w:i/>
                <w:u w:val="single"/>
              </w:rPr>
              <w:t xml:space="preserve">Ricordare che le CP sono chiamate ad esprimere parere </w:t>
            </w:r>
            <w:r>
              <w:rPr>
                <w:b/>
                <w:i/>
                <w:u w:val="single"/>
              </w:rPr>
              <w:t>obbligatorio preventivo</w:t>
            </w:r>
            <w:r>
              <w:rPr>
                <w:i/>
                <w:u w:val="single"/>
              </w:rPr>
              <w:t xml:space="preserve"> sull’intera offerta formativa del dipartimento e sulla sua sostenibilità (in termini di adeguatezza strutturale e di docenti di riferimento)</w:t>
            </w:r>
            <w:r>
              <w:rPr>
                <w:i/>
              </w:rPr>
              <w:t xml:space="preserve"> . </w:t>
            </w:r>
          </w:p>
        </w:tc>
      </w:tr>
    </w:tbl>
    <w:p>
      <w:pPr>
        <w:pStyle w:val="Normal"/>
        <w:widowControl w:val="false"/>
        <w:spacing w:lineRule="auto" w:line="240" w:before="0" w:after="0"/>
        <w:jc w:val="both"/>
        <w:rPr>
          <w:rFonts w:cs="Cambria"/>
          <w:i/>
          <w:color w:val="000000"/>
          <w:lang w:eastAsia="it-IT"/>
        </w:rPr>
      </w:pPr>
      <w:r>
        <w:rPr>
          <w:rFonts w:cs="Cambria"/>
          <w:i/>
          <w:color w:val="000000"/>
          <w:lang w:eastAsia="it-IT"/>
        </w:rPr>
      </w:r>
    </w:p>
    <w:p>
      <w:pPr>
        <w:pStyle w:val="Normal"/>
        <w:spacing w:lineRule="auto" w:line="240" w:before="0" w:after="0"/>
        <w:rPr>
          <w:rFonts w:cs="Cambria" w:ascii="Calibri" w:hAnsi="Calibri"/>
          <w:i/>
          <w:color w:val="000000"/>
          <w:sz w:val="24"/>
          <w:szCs w:val="24"/>
          <w:lang w:eastAsia="it-IT"/>
        </w:rPr>
      </w:pPr>
      <w:r>
        <w:rPr>
          <w:rFonts w:cs="Cambria" w:ascii="Calibri" w:hAnsi="Calibri"/>
          <w:i/>
          <w:color w:val="000000"/>
          <w:sz w:val="24"/>
          <w:szCs w:val="24"/>
          <w:lang w:eastAsia="it-IT"/>
        </w:rPr>
      </w:r>
    </w:p>
    <w:p>
      <w:pPr>
        <w:pStyle w:val="Normal"/>
        <w:pageBreakBefore/>
        <w:widowControl w:val="false"/>
        <w:spacing w:lineRule="auto" w:line="240" w:before="0" w:after="0"/>
        <w:jc w:val="both"/>
        <w:rPr>
          <w:rFonts w:cs="Calibri"/>
          <w:i/>
        </w:rPr>
      </w:pPr>
      <w:r>
        <w:rPr>
          <w:rFonts w:cs="Cambria"/>
          <w:i/>
          <w:color w:val="000000"/>
          <w:lang w:eastAsia="it-IT"/>
        </w:rPr>
        <w:t xml:space="preserve">QUADRO C - </w:t>
      </w:r>
      <w:r>
        <w:rPr>
          <w:rFonts w:cs="Calibri"/>
          <w:i/>
        </w:rPr>
        <w:t>Analisi e proposte sulla validità dei metodi di accertamento delle conoscenze e abilità acquisite dagli studenti in relazione ai risultati di apprendimento attesi</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widowControl w:val="false"/>
              <w:spacing w:lineRule="auto" w:line="240" w:before="0" w:after="0"/>
              <w:jc w:val="both"/>
              <w:rPr/>
            </w:pPr>
            <w:r>
              <w:rPr/>
            </w:r>
          </w:p>
          <w:p>
            <w:pPr>
              <w:pStyle w:val="Normal"/>
              <w:widowControl w:val="false"/>
              <w:spacing w:lineRule="atLeast" w:line="100" w:before="0" w:after="0"/>
              <w:jc w:val="both"/>
              <w:rPr>
                <w:rFonts w:eastAsia="Arial Unicode MS" w:cs="Calibri" w:ascii="Calibri" w:hAnsi="Calibri"/>
                <w:b/>
                <w:sz w:val="24"/>
                <w:szCs w:val="24"/>
                <w:lang w:eastAsia="ar-SA"/>
              </w:rPr>
            </w:pPr>
            <w:r>
              <w:rPr>
                <w:rFonts w:eastAsia="Arial Unicode MS" w:cs="Calibri" w:ascii="Calibri" w:hAnsi="Calibri"/>
                <w:b/>
                <w:sz w:val="24"/>
                <w:szCs w:val="24"/>
                <w:lang w:eastAsia="ar-SA"/>
              </w:rPr>
              <w:t>LAUREA TRIENNALE E LAUREA MAGISTRALE IN MATEMATICA</w:t>
            </w:r>
          </w:p>
          <w:p>
            <w:pPr>
              <w:pStyle w:val="Normal"/>
              <w:widowControl w:val="false"/>
              <w:spacing w:lineRule="auto" w:line="240" w:before="0" w:after="0"/>
              <w:jc w:val="both"/>
              <w:rPr/>
            </w:pPr>
            <w:r>
              <w:rPr/>
            </w:r>
          </w:p>
          <w:p>
            <w:pPr>
              <w:pStyle w:val="Normal"/>
              <w:widowControl w:val="false"/>
              <w:spacing w:lineRule="auto" w:line="240" w:before="0" w:after="0"/>
              <w:jc w:val="both"/>
              <w:rPr>
                <w:lang w:eastAsia="it-IT"/>
              </w:rPr>
            </w:pPr>
            <w:r>
              <w:rPr>
                <w:lang w:eastAsia="it-IT"/>
              </w:rPr>
              <w:t>ANALISI:</w:t>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pPr>
            <w:r>
              <w:rPr/>
              <w:t>Le attività formative previste dal CdS sono coerenti con i risultati di apprendimento specifici previsti dal CdS stesso (SUA quadri A4.a A4.b): l’offerta formativa è articolata in funzione del raggiungimento di una conoscenza ampia della matematica moderna (acquisendo ampie conoscenze teoriche e comprendendo l’utilizzo di tecniche specifiche), delle principali parti della fisica classica, e una più che discreta conoscenza di software matematici (si specifica che ogni singola conoscenza è ulteriormente potenziabile se lo studente desidera approfondire).</w:t>
            </w:r>
          </w:p>
          <w:p>
            <w:pPr>
              <w:pStyle w:val="Normal"/>
              <w:widowControl w:val="false"/>
              <w:spacing w:lineRule="auto" w:line="240" w:before="0" w:after="0"/>
              <w:jc w:val="both"/>
              <w:rPr>
                <w:lang w:eastAsia="it-IT"/>
              </w:rPr>
            </w:pPr>
            <w:r>
              <w:rPr>
                <w:lang w:eastAsia="it-IT"/>
              </w:rPr>
            </w:r>
          </w:p>
          <w:p>
            <w:pPr>
              <w:pStyle w:val="Normal"/>
              <w:spacing w:lineRule="atLeast" w:line="100" w:before="0" w:after="0"/>
              <w:jc w:val="both"/>
              <w:rPr>
                <w:rFonts w:eastAsia="Arial Unicode MS" w:cs="Calibri"/>
                <w:lang w:eastAsia="ar-SA"/>
              </w:rPr>
            </w:pPr>
            <w:r>
              <w:rPr>
                <w:lang w:eastAsia="it-IT"/>
              </w:rPr>
              <w:t xml:space="preserve">Nello </w:t>
            </w:r>
            <w:r>
              <w:rPr>
                <w:rFonts w:eastAsia="Arial Unicode MS" w:cs="Calibri"/>
                <w:lang w:eastAsia="ar-SA"/>
              </w:rPr>
              <w:t>specifico, il Corso di Studi triennale fornisce una solida preparazione per l'accesso alla Laurea Magistrale, attraverso una proposta variegata di insegnamenti, arricchita e supportata da attività di tutorato e attività di tipo seminariale e laboratoriale. Il taglio formativo del Corso di Laurea Triennale è giustifcato dalla circostanza che la maggioranza dei laureati prosegue gli studi nella Laurea Magistrale.</w:t>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rFonts w:eastAsia="Arial Unicode MS" w:cs="Calibri"/>
                <w:lang w:eastAsia="ar-SA"/>
              </w:rPr>
            </w:pPr>
            <w:r>
              <w:rPr>
                <w:rFonts w:eastAsia="Arial Unicode MS" w:cs="Calibri"/>
                <w:lang w:eastAsia="ar-SA"/>
              </w:rPr>
              <w:t>La Laurea Magistrale in Matematica permette il consolidamento delle conoscenze di base acquisite durante il corso di Laurea Triennale. Attraverso i tre curriculum attualmente previsti nel corso di Laurea Magistrale, lo studente ha la possibilità di inquadrare le conoscenze acquisite in ambiti più specifici della ricerca scientifica, delle applicazioni, e della didattica della matematica. Le attività di tirocinio previste, solitamente presso aziende, istituti di ricerca, o istituti scolastici, contribuiscono a una più efficace preparazione del laureato Magistrale all'inserimento nel mondo professionale.</w:t>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rFonts w:eastAsia="Arial Unicode MS" w:cs="Calibri"/>
                <w:lang w:eastAsia="ar-SA"/>
              </w:rPr>
            </w:pPr>
            <w:r>
              <w:rPr>
                <w:rFonts w:eastAsia="Arial Unicode MS" w:cs="Calibri"/>
                <w:lang w:eastAsia="ar-SA"/>
              </w:rPr>
              <w:t>La scheda SUA-CdS chiarisce le modalità attraverso cui vengono accertate conoscenze e abilità acquisite dallo studente, ovvero mediante prove in itinere previste durante lo svolgimento delle esercitazioni, prove d'esame (orali e scritte), e mediante la valutazione della prova finale, che consiste nella redazione e discussione di un elaborato (tesi) su argomenti di matematica di livello commisurato agli studi svolti per conseguire la laurea.</w:t>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rFonts w:eastAsia="Arial Unicode MS" w:cs="Calibri"/>
                <w:lang w:eastAsia="ar-SA"/>
              </w:rPr>
            </w:pPr>
            <w:r>
              <w:rPr>
                <w:rFonts w:eastAsia="Arial Unicode MS" w:cs="Calibri"/>
                <w:lang w:eastAsia="ar-SA"/>
              </w:rPr>
              <w:t xml:space="preserve">Nella relazione dell’anno Accademico precedente era stato esaminato l'andamento nel triennio 2013-2015 di alcuni indicatori contenuti nella Scheda di Monitoraggio Annuale, legati ai risultati di apprendimento da parte dello studente. La scheda di Monitoraggio Annuale aggiornata al 2018 riporta i dati relativi all’anno 2016, di cui si rilevano qui di seguito alcune considerazioni. </w:t>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rFonts w:eastAsia="Arial Unicode MS" w:cs="Calibri"/>
                <w:lang w:eastAsia="ar-SA"/>
              </w:rPr>
            </w:pPr>
            <w:r>
              <w:rPr>
                <w:rFonts w:eastAsia="Arial Unicode MS" w:cs="Calibri"/>
                <w:lang w:eastAsia="ar-SA"/>
              </w:rPr>
              <w:t>Corso di Studi triennale in Matematica:</w:t>
            </w:r>
          </w:p>
          <w:p>
            <w:pPr>
              <w:pStyle w:val="Normal"/>
              <w:spacing w:lineRule="atLeast" w:line="100" w:before="0" w:after="0"/>
              <w:jc w:val="both"/>
              <w:rPr>
                <w:rFonts w:eastAsia="Arial Unicode MS" w:cs="Calibri"/>
                <w:lang w:eastAsia="ar-SA"/>
              </w:rPr>
            </w:pPr>
            <w:r>
              <w:rPr>
                <w:rFonts w:eastAsia="Arial Unicode MS" w:cs="Calibri"/>
                <w:lang w:eastAsia="ar-SA"/>
              </w:rPr>
              <w:t>La percentuale dei laureati entro la durata normale del corso (iC02), che risultava decrescente nel triennio 2013-2015, risale nel 2016 e si attesta intorno al 20%, rimanendo comunque più bassa della media dell’area geografica. Gli indicatori iC13, C14, iC16BIS, già in crescita nel triennio 2013-2015, nell’anno 2016 risultano ulteriormente in crescita, attestandosi sulle medie dell’area geografica, talora superandole. Si conferma quindi la maggiore capacità da parte del Corso di Studi nell'agevolare il percorso dello studente nel passaggio dal primo al secondo anno, attraverso le attività di tutorato a servizio degli studenti (Docenti Tutor, Tutorato Ordinario UniBa, Peer Tutoring, Tutor PLS). Rimane ancora alta la percentuale di abbandoni del Corso di Studi dopo 4 anni (iC24).</w:t>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rFonts w:eastAsia="Arial Unicode MS" w:cs="Calibri"/>
                <w:lang w:eastAsia="ar-SA"/>
              </w:rPr>
            </w:pPr>
            <w:r>
              <w:rPr>
                <w:rFonts w:eastAsia="Arial Unicode MS" w:cs="Calibri"/>
                <w:lang w:eastAsia="ar-SA"/>
              </w:rPr>
              <w:t>Corso di Studi Magistrale in Matematica:</w:t>
            </w:r>
          </w:p>
          <w:p>
            <w:pPr>
              <w:pStyle w:val="Normal"/>
              <w:spacing w:lineRule="atLeast" w:line="100" w:before="0" w:after="0"/>
              <w:jc w:val="both"/>
              <w:rPr>
                <w:rFonts w:eastAsia="Arial Unicode MS" w:cs="Calibri"/>
                <w:lang w:eastAsia="ar-SA"/>
              </w:rPr>
            </w:pPr>
            <w:r>
              <w:rPr>
                <w:rFonts w:eastAsia="Arial Unicode MS" w:cs="Calibri"/>
                <w:lang w:eastAsia="ar-SA"/>
              </w:rPr>
              <w:t>Anche per la Laurea Magistrale in Matematica la percentuale dei laureati entro la durata normale del corso (iC02) è in aumento nel 2016, attestandosi sulla media degli Atenei della stessa area geografica. Gli indicatori iC13, iC14 sono in notevole aumento. In particolare l'indicatore iC14 attesta che nell’anno 2016 la totalità degli iscritti prosegue al secondo anno del corso di studi, dato in linea con iC24, che attesta la bassissima percentuale di abbandoni del Corso di Studi dopo 3 anni. Risulta inoltre notevolmente aumentata nell’anno 2016 la percentuale di studenti che proseguono al secondo anno del corso di studio, avendo conseguito almeno 2/3 dei CFU previsti al primo anno (iC16BIS).</w:t>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rFonts w:eastAsia="Arial Unicode MS" w:cs="Calibri"/>
                <w:lang w:eastAsia="ar-SA"/>
              </w:rPr>
            </w:pPr>
            <w:r>
              <w:rPr>
                <w:rFonts w:eastAsia="Arial Unicode MS" w:cs="Calibri"/>
                <w:lang w:eastAsia="ar-SA"/>
              </w:rPr>
            </w:r>
          </w:p>
          <w:p>
            <w:pPr>
              <w:pStyle w:val="Normal"/>
              <w:spacing w:lineRule="atLeast" w:line="100" w:before="0" w:after="0"/>
              <w:jc w:val="both"/>
              <w:rPr/>
            </w:pPr>
            <w:r>
              <w:rPr/>
            </w:r>
          </w:p>
          <w:p>
            <w:pPr>
              <w:pStyle w:val="Normal"/>
              <w:spacing w:lineRule="atLeast" w:line="100" w:before="0" w:after="0"/>
              <w:jc w:val="both"/>
              <w:rPr>
                <w:lang w:eastAsia="it-IT"/>
              </w:rPr>
            </w:pPr>
            <w:r>
              <w:rPr>
                <w:lang w:eastAsia="it-IT"/>
              </w:rPr>
              <w:t>PROPOSTE</w:t>
            </w:r>
          </w:p>
          <w:p>
            <w:pPr>
              <w:pStyle w:val="Normal"/>
              <w:spacing w:lineRule="atLeast" w:line="100" w:before="0" w:after="0"/>
              <w:jc w:val="both"/>
              <w:rPr>
                <w:rFonts w:eastAsia="Calibri" w:cs="Calibri"/>
                <w:b/>
                <w:lang w:eastAsia="ar-SA"/>
              </w:rPr>
            </w:pPr>
            <w:r>
              <w:rPr>
                <w:rFonts w:eastAsia="Calibri" w:cs="Calibri"/>
                <w:b/>
                <w:lang w:eastAsia="ar-SA"/>
              </w:rPr>
            </w:r>
          </w:p>
          <w:p>
            <w:pPr>
              <w:pStyle w:val="Normal"/>
              <w:numPr>
                <w:ilvl w:val="0"/>
                <w:numId w:val="5"/>
              </w:numPr>
              <w:spacing w:lineRule="atLeast" w:line="100" w:before="0" w:after="0"/>
              <w:jc w:val="both"/>
              <w:rPr>
                <w:rFonts w:eastAsia="Calibri" w:cs="Calibri"/>
                <w:lang w:eastAsia="ar-SA"/>
              </w:rPr>
            </w:pPr>
            <w:r>
              <w:rPr>
                <w:rFonts w:eastAsia="Calibri" w:cs="Calibri"/>
                <w:lang w:eastAsia="ar-SA"/>
              </w:rPr>
              <w:t xml:space="preserve">Monitorare i percorsi formativi dei tre curriculum e il coordinamento dei programmi tra i vari insegnamenti. </w:t>
            </w:r>
          </w:p>
          <w:p>
            <w:pPr>
              <w:pStyle w:val="Normal"/>
              <w:numPr>
                <w:ilvl w:val="0"/>
                <w:numId w:val="5"/>
              </w:numPr>
              <w:spacing w:lineRule="atLeast" w:line="100" w:before="0" w:after="0"/>
              <w:jc w:val="both"/>
              <w:rPr>
                <w:rFonts w:eastAsia="Calibri" w:cs="Calibri"/>
                <w:lang w:eastAsia="ar-SA"/>
              </w:rPr>
            </w:pPr>
            <w:r>
              <w:rPr>
                <w:rFonts w:eastAsia="Calibri" w:cs="Calibri"/>
                <w:lang w:eastAsia="ar-SA"/>
              </w:rPr>
              <w:t>Incentivare attività formative esterne al Corso di Studi, quali ad esempio la partecipazione a tirocini presso aziende, istituti di ricerca o istituti scolastici.</w:t>
            </w:r>
          </w:p>
          <w:p>
            <w:pPr>
              <w:pStyle w:val="Normal"/>
              <w:numPr>
                <w:ilvl w:val="0"/>
                <w:numId w:val="5"/>
              </w:numPr>
              <w:spacing w:lineRule="atLeast" w:line="100" w:before="0" w:after="0"/>
              <w:jc w:val="both"/>
              <w:rPr>
                <w:rFonts w:eastAsia="Calibri" w:cs="Calibri"/>
                <w:lang w:eastAsia="ar-SA"/>
              </w:rPr>
            </w:pPr>
            <w:r>
              <w:rPr>
                <w:rFonts w:eastAsia="Calibri" w:cs="Calibri"/>
                <w:lang w:eastAsia="ar-SA"/>
              </w:rPr>
              <w:t>Attuare interventi che consentano agli studenti del Corso di Laurea triennale di conseguire il titolo nei tempi previsti, e non oltre la sessione autunnale.</w:t>
            </w:r>
          </w:p>
          <w:p>
            <w:pPr>
              <w:pStyle w:val="Normal"/>
              <w:numPr>
                <w:ilvl w:val="0"/>
                <w:numId w:val="5"/>
              </w:numPr>
              <w:spacing w:lineRule="atLeast" w:line="100" w:before="0" w:after="0"/>
              <w:jc w:val="both"/>
              <w:rPr>
                <w:rFonts w:eastAsia="Calibri" w:cs="Calibri"/>
                <w:lang w:eastAsia="ar-SA"/>
              </w:rPr>
            </w:pPr>
            <w:r>
              <w:rPr>
                <w:rFonts w:eastAsia="Calibri" w:cs="Calibri"/>
                <w:lang w:eastAsia="ar-SA"/>
              </w:rPr>
              <w:t xml:space="preserve">Incentivare la partecipazione  ai programmi di internazionalizzazione quali progetti Erasmus e Global Thesis. </w:t>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Web"/>
              <w:spacing w:before="280" w:after="160"/>
              <w:rPr>
                <w:rFonts w:ascii="Cambria" w:hAnsi="Cambria"/>
                <w:sz w:val="22"/>
                <w:szCs w:val="22"/>
              </w:rPr>
            </w:pPr>
            <w:r>
              <w:rPr>
                <w:rFonts w:ascii="Cambria" w:hAnsi="Cambria"/>
                <w:sz w:val="22"/>
                <w:szCs w:val="22"/>
              </w:rPr>
              <w:t xml:space="preserve">Fonti di consultazione  </w:t>
            </w:r>
          </w:p>
          <w:p>
            <w:pPr>
              <w:pStyle w:val="NormalWeb"/>
              <w:spacing w:before="280" w:after="160"/>
              <w:rPr>
                <w:rFonts w:ascii="Cambria" w:hAnsi="Cambria"/>
                <w:sz w:val="22"/>
                <w:szCs w:val="22"/>
              </w:rPr>
            </w:pPr>
            <w:hyperlink r:id="rId16">
              <w:r>
                <w:rPr>
                  <w:rStyle w:val="InternetLink"/>
                  <w:rFonts w:ascii="Cambria" w:hAnsi="Cambria"/>
                  <w:sz w:val="22"/>
                  <w:szCs w:val="22"/>
                </w:rPr>
                <w:t>http://www.universitaly.it/index.php/cercacorsi/universita</w:t>
              </w:r>
            </w:hyperlink>
            <w:r>
              <w:rPr>
                <w:rFonts w:ascii="Cambria" w:hAnsi="Cambria"/>
                <w:sz w:val="22"/>
                <w:szCs w:val="22"/>
              </w:rPr>
              <w:t xml:space="preserve"> </w:t>
            </w:r>
          </w:p>
          <w:p>
            <w:pPr>
              <w:pStyle w:val="NormalWeb"/>
              <w:spacing w:before="280" w:after="160"/>
              <w:rPr>
                <w:rStyle w:val="InternetLink"/>
                <w:rFonts w:ascii="Cambria" w:hAnsi="Cambria"/>
                <w:sz w:val="22"/>
                <w:szCs w:val="22"/>
              </w:rPr>
            </w:pPr>
            <w:hyperlink r:id="rId17">
              <w:r>
                <w:rPr>
                  <w:rStyle w:val="InternetLink"/>
                  <w:rFonts w:ascii="Cambria" w:hAnsi="Cambria"/>
                  <w:sz w:val="22"/>
                  <w:szCs w:val="22"/>
                </w:rPr>
                <w:t>http://www.uniba.it/ateneo/presidio-qualita/ava/</w:t>
              </w:r>
            </w:hyperlink>
          </w:p>
          <w:p>
            <w:pPr>
              <w:pStyle w:val="NormalWeb"/>
              <w:spacing w:before="280" w:after="160"/>
              <w:rPr>
                <w:rFonts w:ascii="Cambria" w:hAnsi="Cambria"/>
                <w:sz w:val="22"/>
                <w:szCs w:val="22"/>
              </w:rPr>
            </w:pPr>
            <w:r>
              <w:rPr>
                <w:rFonts w:ascii="Cambria" w:hAnsi="Cambria"/>
                <w:sz w:val="22"/>
                <w:szCs w:val="22"/>
              </w:rPr>
              <w:t>anche per accesso e consultazione della SUA-CdS.</w:t>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b/>
                <w:i/>
              </w:rPr>
            </w:pPr>
            <w:r>
              <w:rPr>
                <w:b/>
                <w:i/>
              </w:rPr>
            </w:r>
          </w:p>
          <w:p>
            <w:pPr>
              <w:pStyle w:val="Normal"/>
              <w:widowControl w:val="false"/>
              <w:spacing w:lineRule="auto" w:line="240" w:before="0" w:after="0"/>
              <w:jc w:val="both"/>
              <w:rPr>
                <w:b/>
                <w:i/>
              </w:rPr>
            </w:pPr>
            <w:r>
              <w:rPr>
                <w:b/>
                <w:i/>
              </w:rPr>
              <w:t>Nota del PQA</w:t>
            </w:r>
          </w:p>
          <w:p>
            <w:pPr>
              <w:pStyle w:val="Normal"/>
              <w:tabs>
                <w:tab w:val="left" w:pos="567" w:leader="none"/>
              </w:tabs>
              <w:spacing w:lineRule="auto" w:line="276" w:before="0" w:after="0"/>
              <w:ind w:left="0" w:right="-6" w:hanging="0"/>
              <w:jc w:val="both"/>
              <w:rPr>
                <w:i/>
              </w:rPr>
            </w:pPr>
            <w:r>
              <w:rPr>
                <w:i/>
              </w:rPr>
              <w:t>Dettagliare, nel caso, per i singoli CdS ed eventualmente indicare i punti di forza e di debolezza</w:t>
            </w:r>
          </w:p>
          <w:p>
            <w:pPr>
              <w:pStyle w:val="Normal"/>
              <w:tabs>
                <w:tab w:val="left" w:pos="567" w:leader="none"/>
              </w:tabs>
              <w:spacing w:lineRule="auto" w:line="276" w:before="0" w:after="0"/>
              <w:ind w:left="0" w:right="-6" w:hanging="0"/>
              <w:jc w:val="both"/>
              <w:rPr>
                <w:i/>
                <w:iCs/>
                <w:color w:val="000000"/>
                <w:lang w:eastAsia="it-IT"/>
              </w:rPr>
            </w:pPr>
            <w:r>
              <w:rPr>
                <w:i/>
              </w:rPr>
              <w:t xml:space="preserve">Si consiglia di verificare la </w:t>
            </w:r>
            <w:r>
              <w:rPr>
                <w:lang w:eastAsia="it-IT"/>
              </w:rPr>
              <w:t>SUA</w:t>
            </w:r>
            <w:r>
              <w:rPr>
                <w:b/>
                <w:bCs/>
                <w:lang w:eastAsia="it-IT"/>
              </w:rPr>
              <w:t>‐</w:t>
            </w:r>
            <w:r>
              <w:rPr>
                <w:lang w:eastAsia="it-IT"/>
              </w:rPr>
              <w:t xml:space="preserve"> CdS ~ SEZIONE A ~ quadri A4.a, A4.b, A4.c, B1.a</w:t>
            </w:r>
            <w:r>
              <w:rPr>
                <w:i/>
                <w:iCs/>
                <w:color w:val="000000"/>
                <w:lang w:eastAsia="it-IT"/>
              </w:rPr>
              <w:t xml:space="preserve">  e che nelle schede dei singoli insegnamenti siano specificati i risultati di apprendimento attesi secondo quanto previsto dai Descrittori di Dublino o in alternativa che siano conformi al format fornito dal PQA ai Coordinatori dei CdS. </w:t>
            </w:r>
          </w:p>
        </w:tc>
      </w:tr>
    </w:tbl>
    <w:p>
      <w:pPr>
        <w:pStyle w:val="Normal"/>
        <w:widowControl w:val="false"/>
        <w:spacing w:lineRule="auto" w:line="240" w:before="0" w:after="0"/>
        <w:jc w:val="both"/>
        <w:rPr>
          <w:rFonts w:cs="Cambria"/>
          <w:i/>
          <w:color w:val="000000"/>
          <w:lang w:eastAsia="it-IT"/>
        </w:rPr>
      </w:pPr>
      <w:r>
        <w:rPr>
          <w:rFonts w:cs="Cambria"/>
          <w:i/>
          <w:color w:val="000000"/>
          <w:lang w:eastAsia="it-IT"/>
        </w:rPr>
      </w:r>
    </w:p>
    <w:p>
      <w:pPr>
        <w:pStyle w:val="Normal"/>
        <w:spacing w:lineRule="auto" w:line="240" w:before="0" w:after="0"/>
        <w:rPr>
          <w:rFonts w:cs="Cambria" w:ascii="Calibri" w:hAnsi="Calibri"/>
          <w:i/>
          <w:color w:val="000000"/>
          <w:sz w:val="24"/>
          <w:szCs w:val="24"/>
          <w:lang w:eastAsia="it-IT"/>
        </w:rPr>
      </w:pPr>
      <w:r>
        <w:rPr>
          <w:rFonts w:cs="Cambria" w:ascii="Calibri" w:hAnsi="Calibri"/>
          <w:i/>
          <w:color w:val="000000"/>
          <w:sz w:val="24"/>
          <w:szCs w:val="24"/>
          <w:lang w:eastAsia="it-IT"/>
        </w:rPr>
      </w:r>
    </w:p>
    <w:p>
      <w:pPr>
        <w:pStyle w:val="Normal"/>
        <w:pageBreakBefore/>
        <w:widowControl w:val="false"/>
        <w:spacing w:lineRule="auto" w:line="240" w:before="0" w:after="0"/>
        <w:jc w:val="both"/>
        <w:rPr>
          <w:rFonts w:cs="Calibri"/>
          <w:i/>
        </w:rPr>
      </w:pPr>
      <w:r>
        <w:rPr>
          <w:rFonts w:cs="Cambria"/>
          <w:i/>
          <w:color w:val="000000"/>
          <w:lang w:eastAsia="it-IT"/>
        </w:rPr>
        <w:t xml:space="preserve">QUADRO D </w:t>
      </w:r>
      <w:r>
        <w:rPr>
          <w:rFonts w:cs="Calibri"/>
          <w:i/>
          <w:color w:val="000000"/>
          <w:lang w:eastAsia="it-IT"/>
        </w:rPr>
        <w:t xml:space="preserve">- </w:t>
      </w:r>
      <w:r>
        <w:rPr>
          <w:rFonts w:cs="Calibri"/>
          <w:i/>
        </w:rPr>
        <w:t>Analisi e proposte sulla completezza e sull’efficacia del Monitoraggio annuale e del Riesame ciclico</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widowControl w:val="false"/>
              <w:spacing w:lineRule="auto" w:line="240" w:before="0" w:after="0"/>
              <w:jc w:val="both"/>
              <w:rPr>
                <w:i/>
              </w:rPr>
            </w:pPr>
            <w:r>
              <w:rPr>
                <w:i/>
              </w:rPr>
            </w:r>
          </w:p>
          <w:p>
            <w:pPr>
              <w:pStyle w:val="Normal"/>
              <w:widowControl w:val="false"/>
              <w:spacing w:lineRule="atLeast" w:line="100" w:before="0" w:after="0"/>
              <w:jc w:val="both"/>
              <w:rPr>
                <w:rFonts w:eastAsia="Arial Unicode MS" w:cs="Calibri" w:ascii="Calibri" w:hAnsi="Calibri"/>
                <w:b/>
                <w:sz w:val="24"/>
                <w:szCs w:val="24"/>
                <w:lang w:eastAsia="ar-SA"/>
              </w:rPr>
            </w:pPr>
            <w:r>
              <w:rPr>
                <w:rFonts w:eastAsia="Arial Unicode MS" w:cs="Calibri" w:ascii="Calibri" w:hAnsi="Calibri"/>
                <w:b/>
                <w:sz w:val="24"/>
                <w:szCs w:val="24"/>
                <w:lang w:eastAsia="ar-SA"/>
              </w:rPr>
              <w:t>LAUREA TRIENNALE E LAUREA MAGISTRALE IN MATEMATICA</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lang w:eastAsia="it-IT"/>
              </w:rPr>
            </w:pPr>
            <w:r>
              <w:rPr>
                <w:lang w:eastAsia="it-IT"/>
              </w:rPr>
              <w:t>ANALISI:</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pPr>
            <w:r>
              <w:rPr/>
              <w:t>Il Rapporto di Riesame Ciclico 2018 riporta una descrizione dettagliata delle modalità in cui il Corso di Studi si è attivato per far fronte alle principali criticità rilevate negli ultimi anni, quali l’elevato tasso di abbandono da parte degli studenti, e il numero non elevato di CFU registrati in media dagli studenti alla fine del primo anno di corso.</w:t>
            </w:r>
          </w:p>
          <w:p>
            <w:pPr>
              <w:pStyle w:val="Normal"/>
              <w:widowControl w:val="false"/>
              <w:spacing w:lineRule="auto" w:line="240" w:before="0" w:after="0"/>
              <w:jc w:val="both"/>
              <w:rPr/>
            </w:pPr>
            <w:r>
              <w:rPr/>
              <w:t>Rispetto a questa criticità, il Corso di Laurea ha messo in atto una intensa attività di tutorato individuale, articolata in tutorati di diversa tipologia: tutorati di Analisi Matematica e Geometria svolti da docenti del Corso di Laurea, attività di tutorato svolta da studenti della Laurea Magistrale, vincitori di apposite borse messe a concorso dall'Università, attività di tutorato svolto da studenti, nell’ambito del Piano Lauree Scientifiche 2016-2017. A questo si aggiunge una intensa attività di orientamento, finalizzata a rendere lo studente del primo anno maggiormente consapevole del proprio percorso di studi. Recentemente il Corso di Laurea in Matematica ha notevolmente potenziato le attività di orientamento in ingresso, attraverso la partecipazione a iniziative di Ateneo (Settimana di Orientamento, Open Day, etc.), e l'istituzione del Corso di Orientamento Consapevole rivolto agli studenti del quinto anno delle scuole superiori.</w:t>
            </w:r>
          </w:p>
          <w:p>
            <w:pPr>
              <w:pStyle w:val="Normal"/>
              <w:widowControl w:val="false"/>
              <w:spacing w:lineRule="auto" w:line="240" w:before="0" w:after="0"/>
              <w:jc w:val="both"/>
              <w:rPr/>
            </w:pPr>
            <w:r>
              <w:rPr/>
              <w:t xml:space="preserve">Come si evince dalla Scheda di Monitoraggio Annuale, sulla base dei relativi indicatori, le azioni correttive messe in atto hanno favorito una notevole riduzione del tasso di abbandono. Dalla stessa scheda si evince come il Corso di Laurea si proponga di operare sforzi aggiuntivi per abbattere ulteriormente il tasso di abbandono, e anche per incrementare la percentuale di studenti che si laureano in tempo. </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pPr>
            <w:r>
              <w:rPr/>
              <w:t>Le Schede di Monitoraggio Annuali relative ai corsi di Laurea Triennale e Magistrale rilevano ancora nell’anno 2016 delle criticità sugli indicatori relativi alla internazionalizzazione dei corsi. E’ opportuno ribadire tuttavia che tali indicatori considerano solo azioni di tipo Erasmus, e pertanto non riportano diverse attività nelle quali sono stati impegnati gli studenti dei corsi di Laurea negli anni recenti: progetti ministeriali “Messaggeri della Conoscenza”, programma Global Thesis, oltre al programma Erasmus, nell’ambito del quale sono attivi accordi di cooperazione con numerose Università Europee. Si rileva in ogni caso, nell’anno 2016 un aumento dell’indicatore iC11, che rileva la percentuale dei laureati che entro la durata normale del corso che hanno acquisito almeno 12 CFU all’estero.</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lang w:eastAsia="it-IT"/>
              </w:rPr>
            </w:pPr>
            <w:r>
              <w:rPr>
                <w:lang w:eastAsia="it-IT"/>
              </w:rPr>
              <w:t>PROPOSTE:</w:t>
            </w:r>
          </w:p>
          <w:p>
            <w:pPr>
              <w:pStyle w:val="Normal"/>
              <w:widowControl w:val="false"/>
              <w:spacing w:lineRule="auto" w:line="240" w:before="0" w:after="0"/>
              <w:jc w:val="both"/>
              <w:rPr/>
            </w:pPr>
            <w:r>
              <w:rPr/>
            </w:r>
          </w:p>
          <w:p>
            <w:pPr>
              <w:pStyle w:val="ListParagraph"/>
              <w:widowControl w:val="false"/>
              <w:numPr>
                <w:ilvl w:val="0"/>
                <w:numId w:val="4"/>
              </w:numPr>
              <w:spacing w:lineRule="auto" w:line="240" w:before="0" w:after="0"/>
              <w:jc w:val="both"/>
              <w:rPr/>
            </w:pPr>
            <w:r>
              <w:rPr/>
              <w:t>Proseguire con le attività di orientamento e tutorato rivolte agli studenti del primo anno della Laurea Triennale.</w:t>
            </w:r>
          </w:p>
          <w:p>
            <w:pPr>
              <w:pStyle w:val="ListParagraph"/>
              <w:widowControl w:val="false"/>
              <w:numPr>
                <w:ilvl w:val="0"/>
                <w:numId w:val="4"/>
              </w:numPr>
              <w:spacing w:lineRule="auto" w:line="240" w:before="0" w:after="0"/>
              <w:jc w:val="both"/>
              <w:rPr/>
            </w:pPr>
            <w:r>
              <w:rPr/>
              <w:t>Rafforzare il servizio di tutorato rivolto agli studenti del secondo e terzo anno della Laurea Triennale ai fini di aumentare la percentuale dei laureati in corso.</w:t>
            </w:r>
          </w:p>
          <w:p>
            <w:pPr>
              <w:pStyle w:val="ListParagraph"/>
              <w:widowControl w:val="false"/>
              <w:numPr>
                <w:ilvl w:val="0"/>
                <w:numId w:val="4"/>
              </w:numPr>
              <w:spacing w:lineRule="auto" w:line="240" w:before="0" w:after="0"/>
              <w:jc w:val="both"/>
              <w:rPr/>
            </w:pPr>
            <w:r>
              <w:rPr/>
              <w:t>Incentivare l’interesse e la partecipazione degli studenti ai programmi di internazionalizzazione (Erasmus e Global Thesis), eventualmente potenziando l’informazione sull’offerta dei programmi, e rafforzando la preparazione linguistica necessaria per aderire ai programmi stessi.</w:t>
            </w:r>
          </w:p>
          <w:p>
            <w:pPr>
              <w:pStyle w:val="Normal"/>
              <w:widowControl w:val="false"/>
              <w:spacing w:lineRule="auto" w:line="240" w:before="0" w:after="0"/>
              <w:jc w:val="both"/>
              <w:rPr/>
            </w:pPr>
            <w:r>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Web"/>
              <w:spacing w:before="280" w:after="160"/>
              <w:rPr>
                <w:rFonts w:ascii="Cambria" w:hAnsi="Cambria"/>
                <w:sz w:val="22"/>
                <w:szCs w:val="22"/>
              </w:rPr>
            </w:pPr>
            <w:bookmarkStart w:id="2" w:name="_GoBack"/>
            <w:bookmarkEnd w:id="2"/>
            <w:r>
              <w:rPr>
                <w:rFonts w:ascii="Cambria" w:hAnsi="Cambria"/>
                <w:sz w:val="22"/>
                <w:szCs w:val="22"/>
              </w:rPr>
              <w:t xml:space="preserve">Fonti di consultazione  </w:t>
            </w:r>
          </w:p>
          <w:p>
            <w:pPr>
              <w:pStyle w:val="Default"/>
              <w:jc w:val="both"/>
              <w:rPr>
                <w:rStyle w:val="InternetLink"/>
                <w:rFonts w:ascii="Cambria" w:hAnsi="Cambria"/>
                <w:sz w:val="22"/>
                <w:szCs w:val="22"/>
              </w:rPr>
            </w:pPr>
            <w:hyperlink r:id="rId18">
              <w:r>
                <w:rPr>
                  <w:rStyle w:val="InternetLink"/>
                  <w:rFonts w:ascii="Cambria" w:hAnsi="Cambria"/>
                  <w:sz w:val="22"/>
                  <w:szCs w:val="22"/>
                </w:rPr>
                <w:t>http://www.uniba.it/ateneo/presidio-qualita/ava/</w:t>
              </w:r>
            </w:hyperlink>
          </w:p>
          <w:p>
            <w:pPr>
              <w:pStyle w:val="Default"/>
              <w:jc w:val="both"/>
              <w:rPr>
                <w:rFonts w:ascii="Cambria" w:hAnsi="Cambria"/>
                <w:color w:val="00000A"/>
                <w:sz w:val="22"/>
                <w:szCs w:val="22"/>
              </w:rPr>
            </w:pPr>
            <w:r>
              <w:rPr>
                <w:rFonts w:ascii="Cambria" w:hAnsi="Cambria"/>
                <w:color w:val="00000A"/>
                <w:sz w:val="22"/>
                <w:szCs w:val="22"/>
              </w:rPr>
              <w:t>per la consultazione dell’ultimo Rapporto di Riesame Ciclico (RCR).</w:t>
            </w:r>
          </w:p>
          <w:p>
            <w:pPr>
              <w:pStyle w:val="Normal"/>
              <w:widowControl w:val="false"/>
              <w:spacing w:lineRule="auto" w:line="240" w:before="0" w:after="0"/>
              <w:jc w:val="both"/>
              <w:rPr/>
            </w:pPr>
            <w:r>
              <w:rPr/>
              <w:t>Ultima Scheda di monitoraggio Annuale (ex Rapporto di Riesame Annuale)</w:t>
            </w:r>
          </w:p>
          <w:p>
            <w:pPr>
              <w:pStyle w:val="Normal"/>
              <w:widowControl w:val="false"/>
              <w:spacing w:lineRule="auto" w:line="240" w:before="0" w:after="0"/>
              <w:jc w:val="both"/>
              <w:rPr>
                <w:i/>
              </w:rPr>
            </w:pPr>
            <w:r>
              <w:rPr>
                <w:i/>
              </w:rPr>
            </w:r>
          </w:p>
          <w:p>
            <w:pPr>
              <w:pStyle w:val="Normal"/>
              <w:widowControl w:val="false"/>
              <w:spacing w:lineRule="auto" w:line="240" w:before="0" w:after="0"/>
              <w:jc w:val="both"/>
              <w:rPr>
                <w:i/>
              </w:rPr>
            </w:pPr>
            <w:r>
              <w:rPr>
                <w:i/>
              </w:rPr>
            </w:r>
          </w:p>
          <w:p>
            <w:pPr>
              <w:pStyle w:val="Normal"/>
              <w:widowControl w:val="false"/>
              <w:spacing w:lineRule="auto" w:line="240" w:before="0" w:after="0"/>
              <w:jc w:val="both"/>
              <w:rPr>
                <w:b/>
                <w:i/>
              </w:rPr>
            </w:pPr>
            <w:r>
              <w:rPr>
                <w:b/>
                <w:i/>
              </w:rPr>
              <w:t>Nota del PQA</w:t>
            </w:r>
          </w:p>
          <w:p>
            <w:pPr>
              <w:pStyle w:val="Normal"/>
              <w:tabs>
                <w:tab w:val="left" w:pos="567" w:leader="none"/>
              </w:tabs>
              <w:spacing w:lineRule="auto" w:line="276" w:before="0" w:after="0"/>
              <w:ind w:left="0" w:right="-6" w:hanging="0"/>
              <w:jc w:val="both"/>
              <w:rPr>
                <w:i/>
              </w:rPr>
            </w:pPr>
            <w:r>
              <w:rPr>
                <w:i/>
              </w:rPr>
              <w:t>Dettagliare, nel caso, per i singoli CdS ed eventualmente indicare i punti di forza e di debolezza.</w:t>
            </w:r>
          </w:p>
          <w:p>
            <w:pPr>
              <w:pStyle w:val="Normal"/>
              <w:widowControl w:val="false"/>
              <w:spacing w:lineRule="auto" w:line="240" w:before="0" w:after="0"/>
              <w:jc w:val="both"/>
              <w:rPr>
                <w:i/>
              </w:rPr>
            </w:pPr>
            <w:r>
              <w:rPr>
                <w:i/>
              </w:rPr>
              <w:t>Si ricorda che nel nuovo modello AVA il rapporto di Riesame Annuale è stato sostituito dalla scheda di monitoraggio annuale che si basa sull’analisi di una serie d’indicatori, pubblicati sulla scheda SUA CdS ed a disposizione dei coordinatori.</w:t>
            </w:r>
          </w:p>
        </w:tc>
      </w:tr>
    </w:tbl>
    <w:p>
      <w:pPr>
        <w:pStyle w:val="Default"/>
        <w:jc w:val="both"/>
        <w:rPr>
          <w:rFonts w:ascii="Cambria" w:hAnsi="Cambria"/>
          <w:sz w:val="22"/>
          <w:szCs w:val="22"/>
        </w:rPr>
      </w:pPr>
      <w:r>
        <w:rPr>
          <w:rFonts w:ascii="Cambria" w:hAnsi="Cambria"/>
          <w:sz w:val="22"/>
          <w:szCs w:val="22"/>
        </w:rPr>
      </w:r>
    </w:p>
    <w:p>
      <w:pPr>
        <w:pStyle w:val="Normal"/>
        <w:spacing w:lineRule="auto" w:line="240" w:before="0" w:after="0"/>
        <w:rPr>
          <w:rFonts w:cs="Arial" w:ascii="Calibri" w:hAnsi="Calibri"/>
          <w:color w:val="000000"/>
          <w:sz w:val="24"/>
          <w:szCs w:val="24"/>
          <w:lang w:eastAsia="it-IT"/>
        </w:rPr>
      </w:pPr>
      <w:r>
        <w:rPr>
          <w:rFonts w:cs="Arial" w:ascii="Calibri" w:hAnsi="Calibri"/>
          <w:color w:val="000000"/>
          <w:sz w:val="24"/>
          <w:szCs w:val="24"/>
          <w:lang w:eastAsia="it-IT"/>
        </w:rPr>
      </w:r>
    </w:p>
    <w:p>
      <w:pPr>
        <w:pStyle w:val="Normal"/>
        <w:pageBreakBefore/>
        <w:widowControl w:val="false"/>
        <w:spacing w:lineRule="auto" w:line="240" w:before="0" w:after="0"/>
        <w:jc w:val="both"/>
        <w:rPr>
          <w:rFonts w:cs="Calibri"/>
          <w:i/>
        </w:rPr>
      </w:pPr>
      <w:r>
        <w:rPr>
          <w:rFonts w:cs="Cambria"/>
          <w:i/>
          <w:color w:val="000000"/>
          <w:lang w:eastAsia="it-IT"/>
        </w:rPr>
        <w:t xml:space="preserve">QUADRO E </w:t>
      </w:r>
      <w:r>
        <w:rPr>
          <w:rFonts w:cs="Calibri"/>
          <w:i/>
          <w:color w:val="000000"/>
          <w:lang w:eastAsia="it-IT"/>
        </w:rPr>
        <w:t xml:space="preserve">- </w:t>
      </w:r>
      <w:r>
        <w:rPr>
          <w:rFonts w:cs="Calibri"/>
          <w:i/>
        </w:rPr>
        <w:t>Analisi e proposte sull’effettiva disponibilità e correttezza delle informazioni fornite nelle parti pubbliche della SUA-CdS</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widowControl w:val="false"/>
              <w:spacing w:lineRule="auto" w:line="240" w:before="0" w:after="0"/>
              <w:jc w:val="both"/>
              <w:rPr/>
            </w:pPr>
            <w:r>
              <w:rPr/>
            </w:r>
          </w:p>
          <w:p>
            <w:pPr>
              <w:pStyle w:val="Normal"/>
              <w:widowControl w:val="false"/>
              <w:spacing w:lineRule="atLeast" w:line="100" w:before="0" w:after="0"/>
              <w:jc w:val="both"/>
              <w:rPr>
                <w:rFonts w:eastAsia="Arial Unicode MS" w:cs="Calibri" w:ascii="Calibri" w:hAnsi="Calibri"/>
                <w:b/>
                <w:sz w:val="24"/>
                <w:szCs w:val="24"/>
                <w:lang w:eastAsia="ar-SA"/>
              </w:rPr>
            </w:pPr>
            <w:r>
              <w:rPr>
                <w:rFonts w:eastAsia="Arial Unicode MS" w:cs="Calibri" w:ascii="Calibri" w:hAnsi="Calibri"/>
                <w:b/>
                <w:sz w:val="24"/>
                <w:szCs w:val="24"/>
                <w:lang w:eastAsia="ar-SA"/>
              </w:rPr>
              <w:t>LAUREA TRIENNALE E LAUREA MAGISTRALE IN MATEMATICA</w:t>
            </w:r>
          </w:p>
          <w:p>
            <w:pPr>
              <w:pStyle w:val="Normal"/>
              <w:widowControl w:val="false"/>
              <w:spacing w:lineRule="auto" w:line="240" w:before="0" w:after="0"/>
              <w:rPr>
                <w:color w:val="000000"/>
                <w:lang w:eastAsia="it-IT"/>
              </w:rPr>
            </w:pPr>
            <w:r>
              <w:rPr>
                <w:color w:val="000000"/>
                <w:lang w:eastAsia="it-IT"/>
              </w:rPr>
            </w:r>
          </w:p>
          <w:p>
            <w:pPr>
              <w:pStyle w:val="Normal"/>
              <w:widowControl w:val="false"/>
              <w:spacing w:lineRule="auto" w:line="240" w:before="0" w:after="0"/>
              <w:jc w:val="both"/>
              <w:rPr>
                <w:color w:val="000000"/>
                <w:lang w:eastAsia="it-IT"/>
              </w:rPr>
            </w:pPr>
            <w:r>
              <w:rPr>
                <w:color w:val="000000"/>
                <w:lang w:eastAsia="it-IT"/>
              </w:rPr>
              <w:t>ANALISI:</w:t>
            </w:r>
          </w:p>
          <w:p>
            <w:pPr>
              <w:pStyle w:val="Normal"/>
              <w:widowControl w:val="false"/>
              <w:spacing w:lineRule="auto" w:line="240" w:before="0" w:after="0"/>
              <w:jc w:val="both"/>
              <w:rPr>
                <w:color w:val="000000"/>
                <w:lang w:eastAsia="it-IT"/>
              </w:rPr>
            </w:pPr>
            <w:r>
              <w:rPr>
                <w:color w:val="000000"/>
                <w:lang w:eastAsia="it-IT"/>
              </w:rPr>
            </w:r>
          </w:p>
          <w:p>
            <w:pPr>
              <w:pStyle w:val="Normal"/>
              <w:spacing w:lineRule="atLeast" w:line="100" w:before="0" w:after="0"/>
              <w:jc w:val="both"/>
              <w:rPr>
                <w:rFonts w:eastAsia="Calibri" w:cs="Calibri" w:ascii="Calibri" w:hAnsi="Calibri"/>
                <w:sz w:val="24"/>
                <w:szCs w:val="24"/>
                <w:lang w:eastAsia="ar-SA"/>
              </w:rPr>
            </w:pPr>
            <w:r>
              <w:rPr>
                <w:rFonts w:eastAsia="Calibri" w:cs="Calibri" w:ascii="Calibri" w:hAnsi="Calibri"/>
                <w:sz w:val="24"/>
                <w:szCs w:val="24"/>
                <w:lang w:eastAsia="ar-SA"/>
              </w:rPr>
              <w:t>Le schede SUA-CdS, accessibili pubblicamente attraverso la pagina web dell'Università, riportano informazioni chiare e complete sui CdS in Matematica, su obiettivi formativi, organizzazione del Corso di Studi, descrizione del profilo professionale e degli sbocchi occupazionali per I laureati in Matematica. Tali informazioni sono coerenti con quanto riportato nella pagina web del Dipartimento di Matematica, che riporta anche informazioni aggiornate relativamente alle attività di orientamento e tutorato, e alle attività seminariali del Dipartimento.</w:t>
            </w:r>
          </w:p>
          <w:p>
            <w:pPr>
              <w:pStyle w:val="Normal"/>
              <w:spacing w:lineRule="atLeast" w:line="100" w:before="0" w:after="0"/>
              <w:jc w:val="both"/>
              <w:rPr>
                <w:rFonts w:eastAsia="Calibri" w:cs="Calibri" w:ascii="Calibri" w:hAnsi="Calibri"/>
                <w:sz w:val="24"/>
                <w:szCs w:val="24"/>
                <w:lang w:eastAsia="ar-SA"/>
              </w:rPr>
            </w:pPr>
            <w:r>
              <w:rPr>
                <w:rFonts w:eastAsia="Calibri" w:cs="Calibri" w:ascii="Calibri" w:hAnsi="Calibri"/>
                <w:sz w:val="24"/>
                <w:szCs w:val="24"/>
                <w:lang w:eastAsia="ar-SA"/>
              </w:rPr>
            </w:r>
          </w:p>
          <w:p>
            <w:pPr>
              <w:pStyle w:val="Normal"/>
              <w:spacing w:lineRule="atLeast" w:line="100" w:before="0" w:after="0"/>
              <w:jc w:val="both"/>
              <w:rPr>
                <w:rFonts w:eastAsia="Calibri" w:cs="Calibri" w:ascii="Calibri" w:hAnsi="Calibri"/>
                <w:sz w:val="24"/>
                <w:szCs w:val="24"/>
                <w:lang w:eastAsia="ar-SA"/>
              </w:rPr>
            </w:pPr>
            <w:r>
              <w:rPr>
                <w:rFonts w:eastAsia="Calibri" w:cs="Calibri" w:ascii="Calibri" w:hAnsi="Calibri"/>
                <w:sz w:val="24"/>
                <w:szCs w:val="24"/>
                <w:lang w:eastAsia="ar-SA"/>
              </w:rPr>
            </w:r>
          </w:p>
          <w:p>
            <w:pPr>
              <w:pStyle w:val="Normal"/>
              <w:widowControl w:val="false"/>
              <w:spacing w:lineRule="auto" w:line="240" w:before="0" w:after="0"/>
              <w:jc w:val="both"/>
              <w:rPr>
                <w:rFonts w:eastAsia="Calibri" w:cs="Calibri" w:ascii="Calibri" w:hAnsi="Calibri"/>
                <w:color w:val="000000"/>
                <w:sz w:val="24"/>
                <w:szCs w:val="24"/>
                <w:lang w:eastAsia="ar-SA"/>
              </w:rPr>
            </w:pPr>
            <w:r>
              <w:rPr>
                <w:rFonts w:eastAsia="Calibri" w:cs="Calibri" w:ascii="Calibri" w:hAnsi="Calibri"/>
                <w:color w:val="000000"/>
                <w:sz w:val="24"/>
                <w:szCs w:val="24"/>
                <w:lang w:eastAsia="ar-SA"/>
              </w:rPr>
              <w:t>PROPOSTE:</w:t>
            </w:r>
          </w:p>
          <w:p>
            <w:pPr>
              <w:pStyle w:val="Normal"/>
              <w:widowControl w:val="false"/>
              <w:spacing w:lineRule="auto" w:line="240" w:before="0" w:after="0"/>
              <w:jc w:val="both"/>
              <w:rPr>
                <w:color w:val="000000"/>
                <w:lang w:eastAsia="it-IT"/>
              </w:rPr>
            </w:pPr>
            <w:r>
              <w:rPr>
                <w:color w:val="000000"/>
                <w:lang w:eastAsia="it-IT"/>
              </w:rPr>
            </w:r>
          </w:p>
          <w:p>
            <w:pPr>
              <w:pStyle w:val="Normal"/>
              <w:spacing w:lineRule="atLeast" w:line="100" w:before="0" w:after="0"/>
              <w:jc w:val="both"/>
              <w:rPr>
                <w:rFonts w:eastAsia="Calibri" w:cs="Calibri" w:ascii="Calibri" w:hAnsi="Calibri"/>
                <w:sz w:val="24"/>
                <w:szCs w:val="24"/>
                <w:lang w:eastAsia="ar-SA"/>
              </w:rPr>
            </w:pPr>
            <w:r>
              <w:rPr>
                <w:rFonts w:eastAsia="Calibri" w:cs="Calibri" w:ascii="Calibri" w:hAnsi="Calibri"/>
                <w:sz w:val="24"/>
                <w:szCs w:val="24"/>
                <w:lang w:eastAsia="ar-SA"/>
              </w:rPr>
              <w:t>Migliorare ulteriormente la disponibilità e la organizzazione delle informazioni in rete.</w:t>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Web"/>
              <w:spacing w:before="280" w:after="160"/>
              <w:rPr>
                <w:rFonts w:ascii="Cambria" w:hAnsi="Cambria"/>
                <w:sz w:val="22"/>
                <w:szCs w:val="22"/>
              </w:rPr>
            </w:pPr>
            <w:r>
              <w:rPr>
                <w:rFonts w:ascii="Cambria" w:hAnsi="Cambria"/>
                <w:sz w:val="22"/>
                <w:szCs w:val="22"/>
              </w:rPr>
            </w:r>
          </w:p>
          <w:p>
            <w:pPr>
              <w:pStyle w:val="Normal"/>
              <w:widowControl w:val="false"/>
              <w:spacing w:lineRule="auto" w:line="240" w:before="0" w:after="0"/>
              <w:jc w:val="both"/>
              <w:rPr>
                <w:lang w:eastAsia="it-IT"/>
              </w:rPr>
            </w:pPr>
            <w:r>
              <w:rPr>
                <w:lang w:eastAsia="it-IT"/>
              </w:rPr>
              <w:t>PROPOSTE:</w:t>
            </w:r>
          </w:p>
          <w:p>
            <w:pPr>
              <w:pStyle w:val="Normal"/>
              <w:widowControl w:val="false"/>
              <w:spacing w:lineRule="auto" w:line="240" w:before="0" w:after="0"/>
              <w:jc w:val="both"/>
              <w:rPr>
                <w:lang w:eastAsia="it-IT"/>
              </w:rPr>
            </w:pPr>
            <w:r>
              <w:rPr>
                <w:lang w:eastAsia="it-IT"/>
              </w:rPr>
              <w:t>Proporre soluzioni coerenti, applicabili e verificabili</w:t>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Web"/>
              <w:spacing w:before="280" w:after="160"/>
              <w:rPr>
                <w:rFonts w:ascii="Cambria" w:hAnsi="Cambria"/>
                <w:sz w:val="22"/>
                <w:szCs w:val="22"/>
              </w:rPr>
            </w:pPr>
            <w:r>
              <w:rPr>
                <w:rFonts w:ascii="Cambria" w:hAnsi="Cambria"/>
                <w:sz w:val="22"/>
                <w:szCs w:val="22"/>
              </w:rPr>
              <w:t xml:space="preserve">Fonti di consultazione </w:t>
            </w:r>
          </w:p>
          <w:p>
            <w:pPr>
              <w:pStyle w:val="NormalWeb"/>
              <w:spacing w:before="280" w:after="160"/>
              <w:rPr>
                <w:rFonts w:ascii="Cambria" w:hAnsi="Cambria"/>
                <w:sz w:val="22"/>
                <w:szCs w:val="22"/>
              </w:rPr>
            </w:pPr>
            <w:hyperlink r:id="rId19">
              <w:r>
                <w:rPr>
                  <w:rStyle w:val="InternetLink"/>
                  <w:rFonts w:ascii="Cambria" w:hAnsi="Cambria"/>
                  <w:sz w:val="22"/>
                  <w:szCs w:val="22"/>
                </w:rPr>
                <w:t>http://www.universitaly.it/index.php/cercacorsi/universita</w:t>
              </w:r>
            </w:hyperlink>
            <w:r>
              <w:rPr>
                <w:rFonts w:ascii="Cambria" w:hAnsi="Cambria"/>
                <w:sz w:val="22"/>
                <w:szCs w:val="22"/>
              </w:rPr>
              <w:t xml:space="preserve"> </w:t>
            </w:r>
          </w:p>
          <w:p>
            <w:pPr>
              <w:pStyle w:val="NormalWeb"/>
              <w:spacing w:before="280" w:after="160"/>
              <w:rPr>
                <w:rStyle w:val="InternetLink"/>
                <w:rFonts w:ascii="Cambria" w:hAnsi="Cambria"/>
                <w:sz w:val="22"/>
                <w:szCs w:val="22"/>
              </w:rPr>
            </w:pPr>
            <w:hyperlink r:id="rId20">
              <w:r>
                <w:rPr>
                  <w:rStyle w:val="InternetLink"/>
                  <w:rFonts w:ascii="Cambria" w:hAnsi="Cambria"/>
                  <w:sz w:val="22"/>
                  <w:szCs w:val="22"/>
                </w:rPr>
                <w:t>http://www.uniba.it/ateneo/presidio-qualita/ava/</w:t>
              </w:r>
            </w:hyperlink>
          </w:p>
          <w:p>
            <w:pPr>
              <w:pStyle w:val="NormalWeb"/>
              <w:spacing w:before="280" w:after="160"/>
              <w:rPr>
                <w:rFonts w:ascii="Cambria" w:hAnsi="Cambria"/>
                <w:sz w:val="22"/>
                <w:szCs w:val="22"/>
              </w:rPr>
            </w:pPr>
            <w:r>
              <w:rPr>
                <w:rFonts w:ascii="Cambria" w:hAnsi="Cambria"/>
                <w:sz w:val="22"/>
                <w:szCs w:val="22"/>
              </w:rPr>
              <w:t>anche per accesso e consultazione pubblica della SUA-CdS</w:t>
            </w:r>
          </w:p>
          <w:p>
            <w:pPr>
              <w:pStyle w:val="NormalWeb"/>
              <w:spacing w:before="280" w:after="160"/>
              <w:rPr>
                <w:rFonts w:ascii="Cambria" w:hAnsi="Cambria"/>
                <w:sz w:val="22"/>
                <w:szCs w:val="22"/>
              </w:rPr>
            </w:pPr>
            <w:hyperlink r:id="rId21">
              <w:r>
                <w:rPr>
                  <w:rStyle w:val="InternetLink"/>
                  <w:rFonts w:ascii="Cambria" w:hAnsi="Cambria"/>
                  <w:sz w:val="22"/>
                  <w:szCs w:val="22"/>
                </w:rPr>
                <w:t>http://www.uniba.it/ricerca/dipartimenti/</w:t>
              </w:r>
            </w:hyperlink>
            <w:r>
              <w:rPr>
                <w:rFonts w:ascii="Cambria" w:hAnsi="Cambria"/>
                <w:sz w:val="22"/>
                <w:szCs w:val="22"/>
              </w:rPr>
              <w:t xml:space="preserve"> (</w:t>
            </w:r>
            <w:r>
              <w:rPr>
                <w:rFonts w:ascii="Cambria" w:hAnsi="Cambria"/>
                <w:i/>
                <w:sz w:val="22"/>
                <w:szCs w:val="22"/>
              </w:rPr>
              <w:t>pagina web del dipartimento</w:t>
            </w:r>
            <w:r>
              <w:rPr>
                <w:rFonts w:ascii="Cambria" w:hAnsi="Cambria"/>
                <w:sz w:val="22"/>
                <w:szCs w:val="22"/>
              </w:rPr>
              <w:t xml:space="preserve">) </w:t>
            </w:r>
          </w:p>
          <w:p>
            <w:pPr>
              <w:pStyle w:val="NormalWeb"/>
              <w:spacing w:before="280" w:after="160"/>
              <w:rPr>
                <w:rStyle w:val="InternetLink"/>
                <w:rFonts w:ascii="Cambria" w:hAnsi="Cambria"/>
                <w:sz w:val="22"/>
                <w:szCs w:val="22"/>
              </w:rPr>
            </w:pPr>
            <w:hyperlink r:id="rId22">
              <w:r>
                <w:rPr>
                  <w:rStyle w:val="InternetLink"/>
                  <w:rFonts w:ascii="Cambria" w:hAnsi="Cambria"/>
                  <w:sz w:val="22"/>
                  <w:szCs w:val="22"/>
                </w:rPr>
                <w:t>http://www.uniba.it/didattica</w:t>
              </w:r>
            </w:hyperlink>
          </w:p>
          <w:p>
            <w:pPr>
              <w:pStyle w:val="NormalWeb"/>
              <w:spacing w:before="280" w:after="160"/>
              <w:rPr>
                <w:rFonts w:ascii="Cambria" w:hAnsi="Cambria"/>
                <w:sz w:val="22"/>
                <w:szCs w:val="22"/>
              </w:rPr>
            </w:pPr>
            <w:r>
              <w:rPr>
                <w:rFonts w:ascii="Cambria" w:hAnsi="Cambria"/>
                <w:sz w:val="22"/>
                <w:szCs w:val="22"/>
              </w:rPr>
              <w:t>per l’organizzazione</w:t>
            </w:r>
            <w:r>
              <w:rPr>
                <w:rFonts w:ascii="Cambria" w:hAnsi="Cambria"/>
                <w:b/>
                <w:sz w:val="22"/>
                <w:szCs w:val="22"/>
              </w:rPr>
              <w:t xml:space="preserve"> </w:t>
            </w:r>
            <w:r>
              <w:rPr>
                <w:rFonts w:ascii="Cambria" w:hAnsi="Cambria"/>
                <w:sz w:val="22"/>
                <w:szCs w:val="22"/>
              </w:rPr>
              <w:t>didattica dei singoli CdS e per l’accesso ai programmi di studio.</w:t>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b/>
                <w:i/>
              </w:rPr>
            </w:pPr>
            <w:r>
              <w:rPr>
                <w:b/>
                <w:i/>
              </w:rPr>
              <w:t>Nota del PQA</w:t>
            </w:r>
          </w:p>
          <w:p>
            <w:pPr>
              <w:pStyle w:val="Normal"/>
              <w:widowControl w:val="false"/>
              <w:spacing w:lineRule="auto" w:line="240" w:before="0" w:after="0"/>
              <w:jc w:val="both"/>
              <w:rPr>
                <w:i/>
              </w:rPr>
            </w:pPr>
            <w:r>
              <w:rPr>
                <w:i/>
              </w:rPr>
              <w:t>Consultare informazioni inserite nella SUA-CdS-</w:t>
            </w:r>
            <w:r>
              <w:rPr>
                <w:i/>
                <w:lang w:eastAsia="it-IT"/>
              </w:rPr>
              <w:t xml:space="preserve"> ~ Presentazione e Sezioni A e B;</w:t>
            </w:r>
            <w:r>
              <w:rPr>
                <w:i/>
              </w:rPr>
              <w:t xml:space="preserve"> Informazioni riportate nel sito web del dipartimento e del Corso di studio.</w:t>
            </w:r>
          </w:p>
        </w:tc>
      </w:tr>
    </w:tbl>
    <w:p>
      <w:pPr>
        <w:pStyle w:val="Default"/>
        <w:jc w:val="both"/>
        <w:rPr>
          <w:rFonts w:ascii="Cambria" w:hAnsi="Cambria"/>
          <w:sz w:val="22"/>
          <w:szCs w:val="22"/>
        </w:rPr>
      </w:pPr>
      <w:r>
        <w:rPr>
          <w:rFonts w:ascii="Cambria" w:hAnsi="Cambria"/>
          <w:sz w:val="22"/>
          <w:szCs w:val="22"/>
        </w:rPr>
      </w:r>
    </w:p>
    <w:p>
      <w:pPr>
        <w:pStyle w:val="Normal"/>
        <w:spacing w:lineRule="auto" w:line="240" w:before="0" w:after="0"/>
        <w:rPr>
          <w:rFonts w:cs="Arial" w:ascii="Calibri" w:hAnsi="Calibri"/>
          <w:color w:val="000000"/>
          <w:sz w:val="24"/>
          <w:szCs w:val="24"/>
          <w:lang w:eastAsia="it-IT"/>
        </w:rPr>
      </w:pPr>
      <w:r>
        <w:rPr>
          <w:rFonts w:cs="Arial" w:ascii="Calibri" w:hAnsi="Calibri"/>
          <w:color w:val="000000"/>
          <w:sz w:val="24"/>
          <w:szCs w:val="24"/>
          <w:lang w:eastAsia="it-IT"/>
        </w:rPr>
      </w:r>
    </w:p>
    <w:p>
      <w:pPr>
        <w:pStyle w:val="Normal"/>
        <w:pageBreakBefore/>
        <w:widowControl w:val="false"/>
        <w:spacing w:lineRule="auto" w:line="240" w:before="0" w:after="0"/>
        <w:rPr>
          <w:rFonts w:cs="Calibri"/>
          <w:i/>
        </w:rPr>
      </w:pPr>
      <w:r>
        <w:rPr>
          <w:rFonts w:cs="Calibri"/>
          <w:i/>
          <w:color w:val="000000"/>
          <w:lang w:eastAsia="it-IT"/>
        </w:rPr>
        <w:t xml:space="preserve">QUADRO F - </w:t>
      </w:r>
      <w:r>
        <w:rPr>
          <w:rFonts w:cs="Calibri"/>
          <w:i/>
        </w:rPr>
        <w:t>Ulteriori proposte di miglioramento</w:t>
      </w:r>
    </w:p>
    <w:tbl>
      <w:tblPr>
        <w:jc w:val="left"/>
        <w:tblInd w:w="93" w:type="dxa"/>
        <w:tbl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blBorders>
        <w:tblCellMar>
          <w:top w:w="0" w:type="dxa"/>
          <w:left w:w="92" w:type="dxa"/>
          <w:bottom w:w="0" w:type="dxa"/>
          <w:right w:w="108" w:type="dxa"/>
        </w:tblCellMar>
      </w:tblPr>
      <w:tblGrid>
        <w:gridCol w:w="10490"/>
      </w:tblGrid>
      <w:tr>
        <w:trPr>
          <w:cantSplit w:val="false"/>
        </w:trPr>
        <w:tc>
          <w:tcPr>
            <w:tcW w:w="10490" w:type="dxa"/>
            <w:tcBorders>
              <w:top w:val="single" w:sz="12" w:space="0" w:color="0000FF"/>
              <w:left w:val="single" w:sz="12" w:space="0" w:color="0000FF"/>
              <w:bottom w:val="single" w:sz="12" w:space="0" w:color="0000FF"/>
              <w:insideH w:val="single" w:sz="12" w:space="0" w:color="0000FF"/>
              <w:right w:val="single" w:sz="12" w:space="0" w:color="0000FF"/>
              <w:insideV w:val="single" w:sz="12" w:space="0" w:color="0000FF"/>
            </w:tcBorders>
            <w:shd w:fill="FFFFFF" w:val="clear"/>
            <w:tcMar>
              <w:left w:w="92" w:type="dxa"/>
            </w:tcMar>
          </w:tcPr>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lang w:eastAsia="it-IT"/>
              </w:rPr>
            </w:pPr>
            <w:r>
              <w:rPr>
                <w:lang w:eastAsia="it-IT"/>
              </w:rPr>
            </w:r>
          </w:p>
          <w:p>
            <w:pPr>
              <w:pStyle w:val="Normal"/>
              <w:widowControl w:val="false"/>
              <w:spacing w:lineRule="auto" w:line="240" w:before="0" w:after="0"/>
              <w:jc w:val="both"/>
              <w:rPr/>
            </w:pPr>
            <w:r>
              <w:rPr/>
            </w:r>
          </w:p>
          <w:p>
            <w:pPr>
              <w:pStyle w:val="Normal"/>
              <w:widowControl w:val="false"/>
              <w:spacing w:lineRule="auto" w:line="240" w:before="0" w:after="0"/>
              <w:jc w:val="both"/>
              <w:rPr/>
            </w:pPr>
            <w:r>
              <w:rPr/>
              <w:t>Si suggerisce di:</w:t>
            </w:r>
          </w:p>
          <w:p>
            <w:pPr>
              <w:pStyle w:val="Normal"/>
              <w:widowControl w:val="false"/>
              <w:spacing w:lineRule="auto" w:line="240" w:before="0" w:after="0"/>
              <w:jc w:val="both"/>
              <w:rPr/>
            </w:pPr>
            <w:r>
              <w:rPr/>
              <w:t>proporre azioni coerenti, applicabili e verificabili;</w:t>
            </w:r>
          </w:p>
          <w:p>
            <w:pPr>
              <w:pStyle w:val="Normal"/>
              <w:widowControl w:val="false"/>
              <w:spacing w:lineRule="auto" w:line="240" w:before="0" w:after="0"/>
              <w:jc w:val="both"/>
              <w:rPr/>
            </w:pPr>
            <w:r>
              <w:rPr/>
              <w:t>prevedere quali modalità e tempi di verifica dello stato dell’arte delle azioni intraprese e dell’efficacia delle stesse si possono adottare.</w:t>
            </w:r>
          </w:p>
        </w:tc>
      </w:tr>
    </w:tbl>
    <w:p>
      <w:pPr>
        <w:pStyle w:val="Normal"/>
        <w:spacing w:lineRule="auto" w:line="240" w:before="0" w:after="0"/>
        <w:rPr>
          <w:rFonts w:cs="Cambria"/>
          <w:i/>
          <w:color w:val="000000"/>
          <w:lang w:eastAsia="it-IT"/>
        </w:rPr>
      </w:pPr>
      <w:r>
        <w:rPr>
          <w:rFonts w:cs="Cambria"/>
          <w:i/>
          <w:color w:val="000000"/>
          <w:lang w:eastAsia="it-IT"/>
        </w:rPr>
      </w:r>
    </w:p>
    <w:p>
      <w:pPr>
        <w:pStyle w:val="Normal"/>
        <w:spacing w:lineRule="auto" w:line="240" w:before="0" w:after="0"/>
        <w:rPr>
          <w:rFonts w:cs="Cambria"/>
          <w:i/>
          <w:color w:val="000000"/>
          <w:lang w:eastAsia="it-IT"/>
        </w:rPr>
      </w:pPr>
      <w:r>
        <w:rPr>
          <w:rFonts w:cs="Cambria"/>
          <w:i/>
          <w:color w:val="000000"/>
          <w:lang w:eastAsia="it-IT"/>
        </w:rPr>
      </w:r>
    </w:p>
    <w:p>
      <w:pPr>
        <w:pStyle w:val="Normal"/>
        <w:spacing w:lineRule="auto" w:line="240" w:before="0" w:after="0"/>
        <w:rPr/>
      </w:pPr>
      <w:r>
        <w:rPr/>
        <w:t>La presente relazione è stata approvata nella riunione del……….. come da verbale n°……</w:t>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r>
    </w:p>
    <w:p>
      <w:pPr>
        <w:pStyle w:val="Default"/>
        <w:jc w:val="both"/>
        <w:rPr>
          <w:rFonts w:ascii="Cambria" w:hAnsi="Cambria"/>
          <w:sz w:val="22"/>
          <w:szCs w:val="22"/>
        </w:rPr>
      </w:pPr>
      <w:r>
        <w:rPr>
          <w:rFonts w:ascii="Cambria" w:hAnsi="Cambria"/>
          <w:sz w:val="22"/>
          <w:szCs w:val="22"/>
        </w:rPr>
        <w:t xml:space="preserve">Il COORDINATORE </w:t>
        <w:tab/>
        <w:tab/>
        <w:tab/>
        <w:tab/>
        <w:tab/>
        <w:tab/>
        <w:tab/>
        <w:tab/>
        <w:t>COMPONENTI DOCENTI</w:t>
      </w:r>
    </w:p>
    <w:p>
      <w:pPr>
        <w:pStyle w:val="Default"/>
        <w:jc w:val="both"/>
        <w:rPr>
          <w:rFonts w:ascii="Cambria" w:hAnsi="Cambria"/>
          <w:sz w:val="22"/>
          <w:szCs w:val="22"/>
        </w:rPr>
      </w:pPr>
      <w:r>
        <w:rPr>
          <w:rFonts w:ascii="Cambria" w:hAnsi="Cambria"/>
          <w:sz w:val="22"/>
          <w:szCs w:val="22"/>
        </w:rPr>
        <w:t>Prof. …</w:t>
        <w:tab/>
        <w:tab/>
        <w:tab/>
        <w:tab/>
        <w:tab/>
        <w:tab/>
        <w:tab/>
        <w:tab/>
        <w:tab/>
        <w:tab/>
        <w:tab/>
        <w:t>Prof xxxx</w:t>
      </w:r>
    </w:p>
    <w:p>
      <w:pPr>
        <w:pStyle w:val="Default"/>
        <w:ind w:left="7080" w:right="0" w:firstLine="708"/>
        <w:jc w:val="both"/>
        <w:rPr>
          <w:rFonts w:ascii="Cambria" w:hAnsi="Cambria"/>
          <w:sz w:val="22"/>
          <w:szCs w:val="22"/>
        </w:rPr>
      </w:pPr>
      <w:r>
        <w:rPr>
          <w:rFonts w:ascii="Cambria" w:hAnsi="Cambria"/>
          <w:sz w:val="22"/>
          <w:szCs w:val="22"/>
        </w:rPr>
        <w:t>Prof xxxx</w:t>
      </w:r>
    </w:p>
    <w:p>
      <w:pPr>
        <w:pStyle w:val="Default"/>
        <w:ind w:left="7080" w:right="0" w:hanging="0"/>
        <w:jc w:val="both"/>
        <w:rPr>
          <w:rFonts w:ascii="Cambria" w:hAnsi="Cambria"/>
          <w:sz w:val="22"/>
          <w:szCs w:val="22"/>
        </w:rPr>
      </w:pPr>
      <w:r>
        <w:rPr>
          <w:rFonts w:ascii="Cambria" w:hAnsi="Cambria"/>
          <w:sz w:val="22"/>
          <w:szCs w:val="22"/>
        </w:rPr>
      </w:r>
    </w:p>
    <w:p>
      <w:pPr>
        <w:pStyle w:val="Default"/>
        <w:ind w:left="7080" w:right="0" w:hanging="0"/>
        <w:jc w:val="both"/>
        <w:rPr>
          <w:rFonts w:ascii="Cambria" w:hAnsi="Cambria"/>
          <w:sz w:val="22"/>
          <w:szCs w:val="22"/>
        </w:rPr>
      </w:pPr>
      <w:r>
        <w:rPr>
          <w:rFonts w:ascii="Cambria" w:hAnsi="Cambria"/>
          <w:sz w:val="22"/>
          <w:szCs w:val="22"/>
        </w:rPr>
      </w:r>
    </w:p>
    <w:p>
      <w:pPr>
        <w:pStyle w:val="Default"/>
        <w:ind w:left="7080" w:right="0" w:hanging="0"/>
        <w:jc w:val="both"/>
        <w:rPr>
          <w:rFonts w:ascii="Cambria" w:hAnsi="Cambria"/>
          <w:sz w:val="22"/>
          <w:szCs w:val="22"/>
        </w:rPr>
      </w:pPr>
      <w:r>
        <w:rPr>
          <w:rFonts w:ascii="Cambria" w:hAnsi="Cambria"/>
          <w:sz w:val="22"/>
          <w:szCs w:val="22"/>
        </w:rPr>
        <w:t xml:space="preserve">COMPONENTI STUDENTI </w:t>
      </w:r>
    </w:p>
    <w:p>
      <w:pPr>
        <w:pStyle w:val="Default"/>
        <w:ind w:left="7080" w:right="0" w:firstLine="708"/>
        <w:jc w:val="both"/>
        <w:rPr>
          <w:rFonts w:ascii="Cambria" w:hAnsi="Cambria"/>
          <w:sz w:val="22"/>
          <w:szCs w:val="22"/>
        </w:rPr>
      </w:pPr>
      <w:r>
        <w:rPr>
          <w:rFonts w:ascii="Cambria" w:hAnsi="Cambria"/>
          <w:sz w:val="22"/>
          <w:szCs w:val="22"/>
        </w:rPr>
        <w:t>Stud xxxx</w:t>
      </w:r>
    </w:p>
    <w:p>
      <w:pPr>
        <w:pStyle w:val="Default"/>
        <w:ind w:left="7080" w:right="0" w:firstLine="708"/>
        <w:jc w:val="both"/>
        <w:rPr>
          <w:rFonts w:ascii="Cambria" w:hAnsi="Cambria"/>
          <w:sz w:val="22"/>
          <w:szCs w:val="22"/>
        </w:rPr>
      </w:pPr>
      <w:r>
        <w:rPr>
          <w:rFonts w:ascii="Cambria" w:hAnsi="Cambria"/>
          <w:sz w:val="22"/>
          <w:szCs w:val="22"/>
        </w:rPr>
        <w:t>Stud Xxxx</w:t>
      </w:r>
    </w:p>
    <w:p>
      <w:pPr>
        <w:pStyle w:val="Default"/>
        <w:ind w:left="7080" w:right="0" w:firstLine="708"/>
        <w:jc w:val="both"/>
        <w:rPr>
          <w:rFonts w:ascii="Cambria" w:hAnsi="Cambria"/>
          <w:sz w:val="22"/>
          <w:szCs w:val="22"/>
        </w:rPr>
      </w:pPr>
      <w:r>
        <w:rPr>
          <w:rFonts w:ascii="Cambria" w:hAnsi="Cambria"/>
          <w:sz w:val="22"/>
          <w:szCs w:val="22"/>
        </w:rPr>
      </w:r>
    </w:p>
    <w:p>
      <w:pPr>
        <w:pStyle w:val="Default"/>
        <w:ind w:left="142" w:right="0" w:hanging="142"/>
        <w:jc w:val="both"/>
        <w:rPr>
          <w:rFonts w:ascii="Cambria" w:hAnsi="Cambria"/>
          <w:b/>
          <w:i/>
        </w:rPr>
      </w:pPr>
      <w:r>
        <w:rPr>
          <w:rFonts w:ascii="Cambria" w:hAnsi="Cambria"/>
          <w:b/>
          <w:i/>
        </w:rPr>
      </w:r>
    </w:p>
    <w:p>
      <w:pPr>
        <w:pStyle w:val="Default"/>
        <w:ind w:left="142" w:right="0" w:hanging="142"/>
        <w:jc w:val="both"/>
        <w:rPr>
          <w:rFonts w:ascii="Cambria" w:hAnsi="Cambria"/>
          <w:b/>
          <w:i/>
        </w:rPr>
      </w:pPr>
      <w:r>
        <w:rPr>
          <w:rFonts w:ascii="Cambria" w:hAnsi="Cambria"/>
          <w:b/>
          <w:i/>
        </w:rPr>
      </w:r>
    </w:p>
    <w:p>
      <w:pPr>
        <w:pStyle w:val="Default"/>
        <w:ind w:left="142" w:right="0" w:hanging="142"/>
        <w:jc w:val="both"/>
        <w:rPr>
          <w:rFonts w:ascii="Cambria" w:hAnsi="Cambria"/>
          <w:b/>
          <w:i/>
        </w:rPr>
      </w:pPr>
      <w:r>
        <w:rPr>
          <w:rFonts w:ascii="Cambria" w:hAnsi="Cambria"/>
          <w:b/>
          <w:i/>
        </w:rPr>
      </w:r>
    </w:p>
    <w:p>
      <w:pPr>
        <w:pStyle w:val="Default"/>
        <w:ind w:left="142" w:right="0" w:hanging="142"/>
        <w:jc w:val="both"/>
        <w:rPr>
          <w:rFonts w:ascii="Cambria" w:hAnsi="Cambria"/>
          <w:b/>
          <w:i/>
        </w:rPr>
      </w:pPr>
      <w:r>
        <w:rPr>
          <w:rFonts w:ascii="Cambria" w:hAnsi="Cambria"/>
          <w:b/>
          <w:i/>
        </w:rPr>
      </w:r>
    </w:p>
    <w:p>
      <w:pPr>
        <w:pStyle w:val="Default"/>
        <w:ind w:left="142" w:right="0" w:hanging="142"/>
        <w:jc w:val="both"/>
        <w:rPr>
          <w:rFonts w:ascii="Cambria" w:hAnsi="Cambria"/>
          <w:b/>
          <w:i/>
        </w:rPr>
      </w:pPr>
      <w:r>
        <w:rPr>
          <w:rFonts w:ascii="Cambria" w:hAnsi="Cambria"/>
          <w:b/>
          <w:i/>
        </w:rPr>
      </w:r>
    </w:p>
    <w:p>
      <w:pPr>
        <w:pStyle w:val="Default"/>
        <w:ind w:left="142" w:right="0" w:hanging="142"/>
        <w:jc w:val="both"/>
        <w:rPr>
          <w:rFonts w:ascii="Cambria" w:hAnsi="Cambria"/>
          <w:b/>
          <w:i/>
        </w:rPr>
      </w:pPr>
      <w:r>
        <w:rPr>
          <w:rFonts w:ascii="Cambria" w:hAnsi="Cambria"/>
          <w:b/>
          <w:i/>
        </w:rPr>
      </w:r>
    </w:p>
    <w:p>
      <w:pPr>
        <w:pStyle w:val="Normal"/>
        <w:widowControl w:val="false"/>
        <w:spacing w:lineRule="auto" w:line="240" w:before="0" w:after="0"/>
        <w:jc w:val="both"/>
        <w:rPr>
          <w:b/>
          <w:i/>
        </w:rPr>
      </w:pPr>
      <w:r>
        <w:rPr>
          <w:b/>
          <w:i/>
        </w:rPr>
      </w:r>
    </w:p>
    <w:p>
      <w:pPr>
        <w:pStyle w:val="Normal"/>
        <w:widowControl w:val="false"/>
        <w:spacing w:lineRule="auto" w:line="240" w:before="0" w:after="0"/>
        <w:jc w:val="both"/>
        <w:rPr>
          <w:b/>
          <w:i/>
        </w:rPr>
      </w:pPr>
      <w:r>
        <w:rPr>
          <w:b/>
          <w:i/>
        </w:rPr>
        <w:t>Nota del PQA</w:t>
      </w:r>
    </w:p>
    <w:p>
      <w:pPr>
        <w:pStyle w:val="Normal"/>
        <w:widowControl w:val="false"/>
        <w:spacing w:lineRule="auto" w:line="240" w:before="0" w:after="0"/>
        <w:jc w:val="both"/>
        <w:rPr>
          <w:i/>
        </w:rPr>
      </w:pPr>
      <w:r>
        <w:rPr>
          <w:i/>
        </w:rPr>
        <w:t>Si chiede la firma in calce di tutti i componenti della CP inclusa i rappresentanti degli studenti.</w:t>
      </w:r>
    </w:p>
    <w:sectPr>
      <w:type w:val="nextPage"/>
      <w:pgSz w:w="11906" w:h="16838"/>
      <w:pgMar w:left="720" w:right="720" w:header="0" w:top="720"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Sans Unicode">
    <w:charset w:val="01"/>
    <w:family w:val="roman"/>
    <w:pitch w:val="variable"/>
  </w:font>
  <w:font w:name="Lucida Grande">
    <w:charset w:val="01"/>
    <w:family w:val="roman"/>
    <w:pitch w:val="variable"/>
  </w:font>
  <w:font w:name="Liberation Sans">
    <w:altName w:val="Arial"/>
    <w:charset w:val="01"/>
    <w:family w:val="swiss"/>
    <w:pitch w:val="variable"/>
  </w:font>
  <w:font w:name="Arial">
    <w:charset w:val="01"/>
    <w:family w:val="roman"/>
    <w:pitch w:val="variable"/>
  </w:font>
  <w:font w:name="Times">
    <w:altName w:val="Times New Roman"/>
    <w:charset w:val="01"/>
    <w:family w:val="roman"/>
    <w:pitch w:val="variable"/>
  </w:font>
  <w:font w:name="Calibri">
    <w:charset w:val="01"/>
    <w:family w:val="roman"/>
    <w:pitch w:val="variable"/>
  </w:font>
  <w:font w:name="Symbol">
    <w:charset w:val="02"/>
    <w:family w:val="auto"/>
    <w:pitch w:val="variable"/>
  </w:font>
  <w:font w:name="Lucida Sans Unicode">
    <w:charset w:val="01"/>
    <w:family w:val="swiss"/>
    <w:pitch w:val="default"/>
  </w:font>
  <w:font w:name="Wingdings">
    <w:charset w:val="02"/>
    <w:family w:val="auto"/>
    <w:pitch w:val="default"/>
  </w:font>
  <w:font w:name="Courier New">
    <w:charset w:val="01"/>
    <w:family w:val="modern"/>
    <w:pitch w:val="fixed"/>
  </w:font>
  <w:font w:name="Cambria">
    <w:charset w:val="01"/>
    <w:family w:val="roman"/>
    <w:pitch w:val="default"/>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567"/>
        </w:tabs>
        <w:ind w:left="907" w:hanging="113"/>
      </w:pPr>
      <w:rPr>
        <w:rFonts w:ascii="Symbol" w:hAnsi="Symbol" w:cs="Symbol" w:hint="default"/>
      </w:rPr>
    </w:lvl>
    <w:lvl w:ilvl="1">
      <w:start w:val="1"/>
      <w:numFmt w:val="bullet"/>
      <w:lvlText w:val="-"/>
      <w:lvlJc w:val="left"/>
      <w:pPr>
        <w:tabs>
          <w:tab w:val="num" w:pos="1440"/>
        </w:tabs>
        <w:ind w:left="1440" w:hanging="360"/>
      </w:pPr>
      <w:rPr>
        <w:rFonts w:ascii="Lucida Sans Unicode" w:hAnsi="Lucida Sans Unicode" w:cs="Lucida Sans Unicode"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4"/>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lvl w:ilvl="0">
      <w:start w:val="3"/>
      <w:numFmt w:val="bullet"/>
      <w:lvlText w:val="-"/>
      <w:lvlJc w:val="left"/>
      <w:pPr>
        <w:ind w:left="720" w:hanging="360"/>
      </w:pPr>
      <w:rPr>
        <w:rFonts w:ascii="Cambria" w:hAnsi="Cambria" w:cs="Cambri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mbria" w:hAnsi="Cambria" w:eastAsia="MS Mincho" w:cs="Times New Roman"/>
        <w:sz w:val="22"/>
        <w:szCs w:val="22"/>
        <w:lang w:val="it-IT" w:eastAsia="it-IT" w:bidi="ar-SA"/>
      </w:rPr>
    </w:rPrDefault>
    <w:pPrDefault>
      <w:pPr/>
    </w:pPrDefault>
  </w:docDefaults>
  <w:latentStyles w:defUnhideWhenUsed="1" w:count="267" w:defQFormat="0" w:defSemiHidden="1" w:defUIPriority="99" w:defLockedState="0">
    <w:lsdException w:qFormat="1" w:unhideWhenUsed="0" w:uiPriority="0" w:semiHidden="0" w:locked="1" w:name="Normal"/>
    <w:lsdException w:qFormat="1" w:unhideWhenUsed="0" w:uiPriority="0" w:semiHidden="0" w:locked="1" w:name="heading 1"/>
    <w:lsdException w:qFormat="1" w:uiPriority="0" w:locked="1" w:name="heading 2"/>
    <w:lsdException w:qFormat="1" w:uiPriority="0" w:locked="1" w:name="heading 3"/>
    <w:lsdException w:qFormat="1" w:uiPriority="0" w:locked="1" w:name="heading 4"/>
    <w:lsdException w:qFormat="1" w:uiPriority="0" w:locked="1" w:name="heading 5"/>
    <w:lsdException w:qFormat="1" w:uiPriority="0" w:locked="1" w:name="heading 6"/>
    <w:lsdException w:qFormat="1" w:uiPriority="0" w:locked="1" w:name="heading 7"/>
    <w:lsdException w:qFormat="1" w:uiPriority="0" w:locked="1" w:name="heading 8"/>
    <w:lsdException w:qFormat="1" w:uiPriority="0" w:locked="1" w:name="heading 9"/>
    <w:lsdException w:unhideWhenUsed="0" w:uiPriority="0" w:semiHidden="0" w:locked="1" w:name="toc 1"/>
    <w:lsdException w:unhideWhenUsed="0" w:uiPriority="0" w:semiHidden="0" w:locked="1" w:name="toc 2"/>
    <w:lsdException w:unhideWhenUsed="0" w:uiPriority="0" w:semiHidden="0" w:locked="1" w:name="toc 3"/>
    <w:lsdException w:unhideWhenUsed="0" w:uiPriority="0" w:semiHidden="0" w:locked="1" w:name="toc 4"/>
    <w:lsdException w:unhideWhenUsed="0" w:uiPriority="0" w:semiHidden="0" w:locked="1" w:name="toc 5"/>
    <w:lsdException w:unhideWhenUsed="0" w:uiPriority="0" w:semiHidden="0" w:locked="1" w:name="toc 6"/>
    <w:lsdException w:unhideWhenUsed="0" w:uiPriority="0" w:semiHidden="0" w:locked="1" w:name="toc 7"/>
    <w:lsdException w:unhideWhenUsed="0" w:uiPriority="0" w:semiHidden="0" w:locked="1" w:name="toc 8"/>
    <w:lsdException w:unhideWhenUsed="0" w:uiPriority="0" w:semiHidden="0" w:locked="1" w:name="toc 9"/>
    <w:lsdException w:qFormat="1" w:uiPriority="0" w:locked="1" w:name="caption"/>
    <w:lsdException w:qFormat="1" w:unhideWhenUsed="0" w:uiPriority="0" w:semiHidden="0" w:locked="1" w:name="Title"/>
    <w:lsdException w:unhideWhenUsed="0" w:uiPriority="0" w:semiHidden="0" w:locked="1" w:name="Default Paragraph Font"/>
    <w:lsdException w:qFormat="1" w:unhideWhenUsed="0" w:uiPriority="0" w:semiHidden="0" w:locked="1" w:name="Subtitle"/>
    <w:lsdException w:qFormat="1" w:unhideWhenUsed="0" w:uiPriority="0" w:semiHidden="0" w:locked="1" w:name="Strong"/>
    <w:lsdException w:qFormat="1" w:unhideWhenUsed="0" w:uiPriority="0" w:semiHidden="0" w:locked="1" w:name="Emphasis"/>
    <w:lsdException w:uiPriority="0" w:locked="1" w:name="Table Grid"/>
    <w:lsdException w:unhideWhenUsed="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name="Revision"/>
    <w:lsdException w:qFormat="1" w:unhideWhenUsed="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sdException w:qFormat="1" w:unhideWhenUsed="0" w:uiPriority="19" w:semiHidden="0" w:name="Subtle Emphasis"/>
    <w:lsdException w:qFormat="1" w:unhideWhenUsed="0" w:uiPriority="21" w:semiHidden="0" w:name="Intense Emphasis"/>
    <w:lsdException w:qFormat="1" w:unhideWhenUsed="0" w:uiPriority="31" w:semiHidden="0" w:name="Subtle Reference"/>
    <w:lsdException w:qFormat="1" w:unhideWhenUsed="0" w:uiPriority="32" w:semiHidden="0" w:name="Intense Reference"/>
    <w:lsdException w:qFormat="1" w:unhideWhenUsed="0" w:uiPriority="33" w:semiHidden="0" w:name="Book Title"/>
    <w:lsdException w:uiPriority="37" w:name="Bibliography"/>
    <w:lsdException w:qFormat="1" w:uiPriority="39" w:name="TOC Heading"/>
  </w:latentStyles>
  <w:style w:type="paragraph" w:styleId="Normal" w:default="1">
    <w:name w:val="Normal"/>
    <w:qFormat/>
    <w:rsid w:val="00c93b53"/>
    <w:pPr>
      <w:widowControl/>
      <w:suppressAutoHyphens w:val="true"/>
      <w:bidi w:val="0"/>
      <w:spacing w:lineRule="auto" w:line="254" w:before="0" w:after="160"/>
      <w:jc w:val="left"/>
    </w:pPr>
    <w:rPr>
      <w:rFonts w:ascii="Cambria" w:hAnsi="Cambria" w:eastAsia="MS Mincho" w:cs="Times New Roman"/>
      <w:color w:val="auto"/>
      <w:sz w:val="22"/>
      <w:szCs w:val="22"/>
      <w:lang w:eastAsia="en-US" w:val="it-IT" w:bidi="ar-SA"/>
    </w:rPr>
  </w:style>
  <w:style w:type="character" w:styleId="DefaultParagraphFont" w:default="1">
    <w:name w:val="Default Paragraph Font"/>
    <w:uiPriority w:val="1"/>
    <w:semiHidden/>
    <w:unhideWhenUsed/>
    <w:rPr/>
  </w:style>
  <w:style w:type="character" w:styleId="InternetLink" w:customStyle="1">
    <w:name w:val="Internet Link"/>
    <w:uiPriority w:val="99"/>
    <w:rsid w:val="00425ca4"/>
    <w:basedOn w:val="DefaultParagraphFont"/>
    <w:rPr>
      <w:rFonts w:cs="Times New Roman"/>
      <w:color w:val="0000FF"/>
      <w:u w:val="single"/>
      <w:lang w:val="zxx" w:eastAsia="zxx" w:bidi="zxx"/>
    </w:rPr>
  </w:style>
  <w:style w:type="character" w:styleId="FollowedHyperlink">
    <w:name w:val="FollowedHyperlink"/>
    <w:uiPriority w:val="99"/>
    <w:semiHidden/>
    <w:rsid w:val="00425ca4"/>
    <w:basedOn w:val="DefaultParagraphFont"/>
    <w:rPr>
      <w:rFonts w:cs="Times New Roman"/>
      <w:color w:val="800080"/>
      <w:u w:val="single"/>
    </w:rPr>
  </w:style>
  <w:style w:type="character" w:styleId="IntestazioneCarattere" w:customStyle="1">
    <w:name w:val="Intestazione Carattere"/>
    <w:uiPriority w:val="99"/>
    <w:link w:val="Intestazione"/>
    <w:locked/>
    <w:rsid w:val="005d44bd"/>
    <w:basedOn w:val="DefaultParagraphFont"/>
    <w:rPr>
      <w:rFonts w:ascii="Lucida Sans Unicode" w:hAnsi="Lucida Sans Unicode" w:cs="Times New Roman"/>
      <w:sz w:val="20"/>
      <w:szCs w:val="20"/>
    </w:rPr>
  </w:style>
  <w:style w:type="character" w:styleId="TestonotaapidipaginaCarattere" w:customStyle="1">
    <w:name w:val="Testo nota a piè di pagina Carattere"/>
    <w:uiPriority w:val="99"/>
    <w:semiHidden/>
    <w:link w:val="Testonotaapidipagina"/>
    <w:locked/>
    <w:rsid w:val="00ee102e"/>
    <w:basedOn w:val="DefaultParagraphFont"/>
    <w:rPr>
      <w:rFonts w:ascii="Lucida Sans Unicode" w:hAnsi="Lucida Sans Unicode" w:cs="Times New Roman"/>
      <w:color w:val="000000"/>
      <w:sz w:val="20"/>
      <w:szCs w:val="20"/>
    </w:rPr>
  </w:style>
  <w:style w:type="character" w:styleId="TestofumettoCarattere" w:customStyle="1">
    <w:name w:val="Testo fumetto Carattere"/>
    <w:uiPriority w:val="99"/>
    <w:semiHidden/>
    <w:link w:val="Testofumetto"/>
    <w:locked/>
    <w:rsid w:val="00696778"/>
    <w:basedOn w:val="DefaultParagraphFont"/>
    <w:rPr>
      <w:rFonts w:ascii="Lucida Grande" w:hAnsi="Lucida Grande" w:eastAsia="Times New Roman" w:cs="Lucida Grande"/>
      <w:sz w:val="18"/>
      <w:szCs w:val="18"/>
      <w:lang w:eastAsia="en-US"/>
    </w:rPr>
  </w:style>
  <w:style w:type="character" w:styleId="Footnotereference">
    <w:name w:val="footnote reference"/>
    <w:uiPriority w:val="99"/>
    <w:semiHidden/>
    <w:unhideWhenUsed/>
    <w:rsid w:val="00be0cbb"/>
    <w:basedOn w:val="DefaultParagraphFont"/>
    <w:rPr>
      <w:vertAlign w:val="superscript"/>
    </w:rPr>
  </w:style>
  <w:style w:type="character" w:styleId="ListLabel1" w:customStyle="1">
    <w:name w:val="ListLabel 1"/>
    <w:rPr>
      <w:rFonts w:eastAsia="Times New Roman"/>
    </w:rPr>
  </w:style>
  <w:style w:type="character" w:styleId="ListLabel2" w:customStyle="1">
    <w:name w:val="ListLabel 2"/>
    <w:rPr>
      <w:rFonts w:cs="Times New Roman"/>
      <w:b/>
      <w:i w:val="false"/>
    </w:rPr>
  </w:style>
  <w:style w:type="character" w:styleId="ListLabel3" w:customStyle="1">
    <w:name w:val="ListLabel 3"/>
    <w:rPr>
      <w:rFonts w:cs="Times New Roman"/>
    </w:rPr>
  </w:style>
  <w:style w:type="character" w:styleId="ListLabel4" w:customStyle="1">
    <w:name w:val="ListLabel 4"/>
    <w:rPr>
      <w:rFonts w:cs="Times New Roman"/>
      <w:color w:val="00000A"/>
      <w:sz w:val="22"/>
    </w:rPr>
  </w:style>
  <w:style w:type="character" w:styleId="ListLabel5" w:customStyle="1">
    <w:name w:val="ListLabel 5"/>
    <w:rPr>
      <w:rFonts w:cs="Courier New"/>
    </w:rPr>
  </w:style>
  <w:style w:type="character" w:styleId="ListLabel6">
    <w:name w:val="ListLabel 6"/>
    <w:rPr>
      <w:rFonts w:cs="Symbol"/>
    </w:rPr>
  </w:style>
  <w:style w:type="character" w:styleId="ListLabel7">
    <w:name w:val="ListLabel 7"/>
    <w:rPr>
      <w:rFonts w:cs="Lucida Sans Unicode"/>
    </w:rPr>
  </w:style>
  <w:style w:type="character" w:styleId="ListLabel8">
    <w:name w:val="ListLabel 8"/>
    <w:rPr>
      <w:rFonts w:cs="Wingdings"/>
    </w:rPr>
  </w:style>
  <w:style w:type="character" w:styleId="ListLabel9">
    <w:name w:val="ListLabel 9"/>
    <w:rPr>
      <w:rFonts w:cs="Courier New"/>
    </w:rPr>
  </w:style>
  <w:style w:type="character" w:styleId="ListLabel10">
    <w:name w:val="ListLabel 10"/>
    <w:rPr>
      <w:rFonts w:cs="Cambria"/>
    </w:rPr>
  </w:style>
  <w:style w:type="character" w:styleId="ListLabel11">
    <w:name w:val="ListLabel 11"/>
    <w:rPr>
      <w:rFonts w:cs="OpenSymbol"/>
    </w:rPr>
  </w:style>
  <w:style w:type="paragraph" w:styleId="Heading" w:customStyle="1">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customStyle="1">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customStyle="1">
    <w:name w:val="Index"/>
    <w:basedOn w:val="Normal"/>
    <w:pPr>
      <w:suppressLineNumbers/>
    </w:pPr>
    <w:rPr>
      <w:rFonts w:cs="FreeSans"/>
    </w:rPr>
  </w:style>
  <w:style w:type="paragraph" w:styleId="Caption1">
    <w:name w:val="caption"/>
    <w:basedOn w:val="Normal"/>
    <w:pPr>
      <w:suppressLineNumbers/>
      <w:spacing w:before="120" w:after="120"/>
    </w:pPr>
    <w:rPr>
      <w:rFonts w:cs="FreeSans"/>
      <w:i/>
      <w:iCs/>
      <w:sz w:val="24"/>
      <w:szCs w:val="24"/>
    </w:rPr>
  </w:style>
  <w:style w:type="paragraph" w:styleId="Default" w:customStyle="1">
    <w:name w:val="Default"/>
    <w:rsid w:val="008a5644"/>
    <w:pPr>
      <w:widowControl w:val="false"/>
      <w:suppressAutoHyphens w:val="true"/>
      <w:bidi w:val="0"/>
      <w:jc w:val="left"/>
    </w:pPr>
    <w:rPr>
      <w:rFonts w:ascii="Arial" w:hAnsi="Arial" w:cs="Arial" w:eastAsia="MS Mincho"/>
      <w:color w:val="000000"/>
      <w:sz w:val="24"/>
      <w:szCs w:val="24"/>
      <w:lang w:val="it-IT" w:eastAsia="it-IT" w:bidi="ar-SA"/>
    </w:rPr>
  </w:style>
  <w:style w:type="paragraph" w:styleId="ListParagraph">
    <w:name w:val="List Paragraph"/>
    <w:uiPriority w:val="99"/>
    <w:qFormat/>
    <w:rsid w:val="002b3d19"/>
    <w:basedOn w:val="Normal"/>
    <w:pPr>
      <w:spacing w:before="0" w:after="160"/>
      <w:ind w:left="720" w:right="0" w:hanging="0"/>
      <w:contextualSpacing/>
    </w:pPr>
    <w:rPr/>
  </w:style>
  <w:style w:type="paragraph" w:styleId="Header">
    <w:name w:val="Header"/>
    <w:uiPriority w:val="99"/>
    <w:link w:val="IntestazioneCarattere"/>
    <w:rsid w:val="005d44bd"/>
    <w:basedOn w:val="Normal"/>
    <w:pPr>
      <w:tabs>
        <w:tab w:val="center" w:pos="4819" w:leader="none"/>
        <w:tab w:val="right" w:pos="9638" w:leader="none"/>
      </w:tabs>
      <w:spacing w:lineRule="auto" w:line="240" w:before="0" w:after="0"/>
    </w:pPr>
    <w:rPr>
      <w:rFonts w:ascii="Lucida Sans Unicode" w:hAnsi="Lucida Sans Unicode"/>
      <w:sz w:val="20"/>
      <w:szCs w:val="20"/>
      <w:lang w:eastAsia="it-IT"/>
    </w:rPr>
  </w:style>
  <w:style w:type="paragraph" w:styleId="Footnotetext">
    <w:name w:val="footnote text"/>
    <w:uiPriority w:val="99"/>
    <w:semiHidden/>
    <w:link w:val="TestonotaapidipaginaCarattere"/>
    <w:rsid w:val="00ee102e"/>
    <w:basedOn w:val="Normal"/>
    <w:pPr>
      <w:widowControl w:val="false"/>
      <w:spacing w:lineRule="auto" w:line="192" w:before="0" w:after="0"/>
      <w:ind w:left="170" w:right="0" w:hanging="170"/>
    </w:pPr>
    <w:rPr>
      <w:rFonts w:ascii="Lucida Sans Unicode" w:hAnsi="Lucida Sans Unicode"/>
      <w:color w:val="000000"/>
      <w:sz w:val="16"/>
      <w:szCs w:val="20"/>
      <w:lang w:eastAsia="it-IT"/>
    </w:rPr>
  </w:style>
  <w:style w:type="paragraph" w:styleId="BalloonText">
    <w:name w:val="Balloon Text"/>
    <w:uiPriority w:val="99"/>
    <w:semiHidden/>
    <w:link w:val="TestofumettoCarattere"/>
    <w:rsid w:val="00696778"/>
    <w:basedOn w:val="Normal"/>
    <w:pPr>
      <w:spacing w:lineRule="auto" w:line="240" w:before="0" w:after="0"/>
    </w:pPr>
    <w:rPr>
      <w:rFonts w:ascii="Lucida Grande" w:hAnsi="Lucida Grande" w:cs="Lucida Grande"/>
      <w:sz w:val="18"/>
      <w:szCs w:val="18"/>
    </w:rPr>
  </w:style>
  <w:style w:type="paragraph" w:styleId="NormalWeb">
    <w:name w:val="Normal (Web)"/>
    <w:uiPriority w:val="99"/>
    <w:unhideWhenUsed/>
    <w:rsid w:val="007b035c"/>
    <w:basedOn w:val="Normal"/>
    <w:pPr>
      <w:spacing w:before="0" w:after="280"/>
    </w:pPr>
    <w:rPr>
      <w:rFonts w:ascii="Times" w:hAnsi="Times"/>
      <w:sz w:val="20"/>
      <w:szCs w:val="20"/>
      <w:lang w:eastAsia="it-IT"/>
    </w:rPr>
  </w:style>
  <w:style w:type="numbering" w:styleId="NoList" w:default="1">
    <w:name w:val="No List"/>
    <w:uiPriority w:val="99"/>
    <w:semiHidden/>
    <w:unhideWhenUsed/>
  </w:style>
  <w:style w:type="table" w:default="1" w:styleId="Tabellanormale">
    <w:name w:val="Normal Table"/>
    <w:uiPriority w:val="99"/>
    <w:semiHidden/>
    <w:unhideWhenUsed/>
    <w:tblPr>
      <w:tblInd w:type="dxa" w:w="0"/>
      <w:tblCellMar>
        <w:top w:w="0" w:type="dxa"/>
        <w:left w:w="108" w:type="dxa"/>
        <w:bottom w:w="0" w:type="dxa"/>
        <w:right w:w="108" w:type="dxa"/>
      </w:tblCellMar>
    </w:tblPr>
  </w:style>
  <w:style w:type="table" w:styleId="Grigliatabella">
    <w:name w:val="Table Grid"/>
    <w:basedOn w:val="Tabellanormale"/>
    <w:uiPriority w:val="99"/>
    <w:rsid w:val="00c93b53"/>
    <w:rPr>
      <w:sz w:val="20"/>
      <w:szCs w:val="20"/>
    </w:rPr>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6.jpeg"/><Relationship Id="rId3" Type="http://schemas.openxmlformats.org/officeDocument/2006/relationships/hyperlink" Target="http://www.uniba.it/ateneo/presidio-qualita/ava/" TargetMode="External"/><Relationship Id="rId4" Type="http://schemas.openxmlformats.org/officeDocument/2006/relationships/hyperlink" Target="http://www.universitaly.it/index.php/cercacorsi/universita" TargetMode="External"/><Relationship Id="rId5" Type="http://schemas.openxmlformats.org/officeDocument/2006/relationships/hyperlink" Target="http://www.uniba.it/ateneo/presidio-qualita/ava/op_st/vos" TargetMode="External"/><Relationship Id="rId6" Type="http://schemas.openxmlformats.org/officeDocument/2006/relationships/hyperlink" Target="http://www.uniba.it/ateneo/presidio-qualita" TargetMode="External"/><Relationship Id="rId7" Type="http://schemas.openxmlformats.org/officeDocument/2006/relationships/hyperlink" Target="http://www.almalaurea.it/universita/profilo" TargetMode="External"/><Relationship Id="rId8" Type="http://schemas.openxmlformats.org/officeDocument/2006/relationships/hyperlink" Target="http://www.uniba.it/ricerca/dipartimenti/" TargetMode="External"/><Relationship Id="rId9" Type="http://schemas.openxmlformats.org/officeDocument/2006/relationships/hyperlink" Target="http://www.uniba.it/ateneo/presidio-qualita" TargetMode="External"/><Relationship Id="rId10" Type="http://schemas.openxmlformats.org/officeDocument/2006/relationships/hyperlink" Target="http://www.universitaly.it/index.php/cercacorsi/universita" TargetMode="External"/><Relationship Id="rId11" Type="http://schemas.openxmlformats.org/officeDocument/2006/relationships/hyperlink" Target="http://www.uniba.it/ateneo/presidio-qualita/ava/" TargetMode="External"/><Relationship Id="rId12" Type="http://schemas.openxmlformats.org/officeDocument/2006/relationships/hyperlink" Target="http://www.uniba.it/ateneo/presidio-qualita/ava/op_st/vos" TargetMode="External"/><Relationship Id="rId13" Type="http://schemas.openxmlformats.org/officeDocument/2006/relationships/hyperlink" Target="https://oc.ict.uniba.it/home/nucleovalutazione/relazioni/opinione-degli-studenti-sulle-attivita-didattiche" TargetMode="External"/><Relationship Id="rId14" Type="http://schemas.openxmlformats.org/officeDocument/2006/relationships/hyperlink" Target="http://www.universitaly.it/index.php/cercacorsi/universita" TargetMode="External"/><Relationship Id="rId15" Type="http://schemas.openxmlformats.org/officeDocument/2006/relationships/hyperlink" Target="http://www.uniba.it/ateneo/presidio-qualita/ava/" TargetMode="External"/><Relationship Id="rId16" Type="http://schemas.openxmlformats.org/officeDocument/2006/relationships/hyperlink" Target="http://www.universitaly.it/index.php/cercacorsi/universita" TargetMode="External"/><Relationship Id="rId17" Type="http://schemas.openxmlformats.org/officeDocument/2006/relationships/hyperlink" Target="http://www.uniba.it/ateneo/presidio-qualita/ava/" TargetMode="External"/><Relationship Id="rId18" Type="http://schemas.openxmlformats.org/officeDocument/2006/relationships/hyperlink" Target="http://www.uniba.it/ateneo/presidio-qualita/ava/" TargetMode="External"/><Relationship Id="rId19" Type="http://schemas.openxmlformats.org/officeDocument/2006/relationships/hyperlink" Target="http://www.universitaly.it/index.php/cercacorsi/universita" TargetMode="External"/><Relationship Id="rId20" Type="http://schemas.openxmlformats.org/officeDocument/2006/relationships/hyperlink" Target="http://www.uniba.it/ateneo/presidio-qualita/ava/" TargetMode="External"/><Relationship Id="rId21" Type="http://schemas.openxmlformats.org/officeDocument/2006/relationships/hyperlink" Target="http://www.uniba.it/ricerca/dipartimenti/" TargetMode="External"/><Relationship Id="rId22" Type="http://schemas.openxmlformats.org/officeDocument/2006/relationships/hyperlink" Target="http://www.uniba.it/didattica" TargetMode="Externa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B484A-5FA5-4E1F-9672-7CFE0860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2018-12-04T15:09:00Z</dcterms:created>
  <dc:creator>Giuseppe Crescenzo</dc:creator>
  <dc:language>en-US</dc:language>
  <cp:lastModifiedBy>standard</cp:lastModifiedBy>
  <cp:lastPrinted>2017-07-26T10:07:00Z</cp:lastPrinted>
  <dcterms:modified xsi:type="dcterms:W3CDTF">2018-12-04T15:09:00Z</dcterms:modified>
  <cp:revision>2</cp:revision>
  <dc:title>DIPARTIMENTO DI</dc:title>
</cp:coreProperties>
</file>